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96E814">
      <w:pPr>
        <w:pBdr>
          <w:top w:val="none" w:color="auto" w:sz="0" w:space="1"/>
          <w:left w:val="none" w:color="auto" w:sz="0" w:space="4"/>
          <w:bottom w:val="none" w:color="auto" w:sz="0" w:space="1"/>
          <w:right w:val="none" w:color="auto" w:sz="0" w:space="4"/>
        </w:pBdr>
        <w:spacing w:afterLines="50" w:line="440" w:lineRule="exact"/>
        <w:jc w:val="center"/>
        <w:rPr>
          <w:rFonts w:hint="eastAsia" w:ascii="宋体" w:hAnsi="宋体" w:eastAsia="宋体" w:cs="宋体"/>
          <w:b/>
          <w:color w:val="000000"/>
          <w:kern w:val="0"/>
          <w:sz w:val="32"/>
          <w:szCs w:val="32"/>
          <w:highlight w:val="none"/>
        </w:rPr>
      </w:pPr>
    </w:p>
    <w:p w14:paraId="6C054487">
      <w:pPr>
        <w:pBdr>
          <w:top w:val="none" w:color="auto" w:sz="0" w:space="1"/>
          <w:left w:val="none" w:color="auto" w:sz="0" w:space="4"/>
          <w:bottom w:val="none" w:color="auto" w:sz="0" w:space="1"/>
          <w:right w:val="none" w:color="auto" w:sz="0" w:space="4"/>
        </w:pBdr>
        <w:spacing w:afterLines="50" w:line="440" w:lineRule="exact"/>
        <w:jc w:val="center"/>
        <w:rPr>
          <w:rFonts w:hint="eastAsia" w:ascii="宋体" w:hAnsi="宋体" w:eastAsia="宋体" w:cs="宋体"/>
          <w:b/>
          <w:color w:val="000000"/>
          <w:kern w:val="0"/>
          <w:sz w:val="32"/>
          <w:szCs w:val="32"/>
          <w:highlight w:val="none"/>
        </w:rPr>
      </w:pPr>
      <w:r>
        <w:rPr>
          <w:rFonts w:hint="eastAsia" w:ascii="宋体" w:hAnsi="宋体" w:eastAsia="宋体" w:cs="宋体"/>
          <w:b/>
          <w:color w:val="000000"/>
          <w:kern w:val="0"/>
          <w:sz w:val="32"/>
          <w:szCs w:val="32"/>
          <w:highlight w:val="none"/>
        </w:rPr>
        <w:t>永兴特种材料科技股份有限公司</w:t>
      </w:r>
    </w:p>
    <w:p w14:paraId="53FEF888">
      <w:pPr>
        <w:pBdr>
          <w:top w:val="none" w:color="auto" w:sz="0" w:space="1"/>
          <w:left w:val="none" w:color="auto" w:sz="0" w:space="4"/>
          <w:bottom w:val="none" w:color="auto" w:sz="0" w:space="1"/>
          <w:right w:val="none" w:color="auto" w:sz="0" w:space="4"/>
        </w:pBdr>
        <w:spacing w:afterLines="50" w:line="440" w:lineRule="exact"/>
        <w:jc w:val="center"/>
        <w:rPr>
          <w:rFonts w:hint="eastAsia" w:ascii="宋体" w:hAnsi="宋体" w:eastAsia="宋体" w:cs="宋体"/>
          <w:b/>
          <w:color w:val="000000"/>
          <w:kern w:val="0"/>
          <w:sz w:val="32"/>
          <w:szCs w:val="32"/>
          <w:highlight w:val="none"/>
        </w:rPr>
      </w:pPr>
      <w:r>
        <w:rPr>
          <w:rFonts w:hint="eastAsia" w:ascii="宋体" w:hAnsi="宋体" w:eastAsia="宋体" w:cs="宋体"/>
          <w:b/>
          <w:color w:val="000000"/>
          <w:kern w:val="0"/>
          <w:sz w:val="32"/>
          <w:szCs w:val="32"/>
          <w:highlight w:val="none"/>
        </w:rPr>
        <w:t>市值管理制度</w:t>
      </w:r>
    </w:p>
    <w:p w14:paraId="779164DA">
      <w:pPr>
        <w:keepNext w:val="0"/>
        <w:keepLines w:val="0"/>
        <w:pageBreakBefore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480" w:lineRule="exact"/>
        <w:jc w:val="center"/>
        <w:textAlignment w:val="auto"/>
        <w:rPr>
          <w:rFonts w:hint="eastAsia" w:ascii="宋体" w:hAnsi="宋体" w:eastAsia="宋体" w:cs="宋体"/>
          <w:b/>
          <w:color w:val="000000"/>
          <w:kern w:val="0"/>
          <w:sz w:val="24"/>
          <w:szCs w:val="24"/>
          <w:highlight w:val="none"/>
        </w:rPr>
      </w:pPr>
      <w:r>
        <w:rPr>
          <w:rFonts w:hint="eastAsia" w:ascii="宋体" w:hAnsi="宋体" w:eastAsia="宋体" w:cs="宋体"/>
          <w:b/>
          <w:color w:val="000000"/>
          <w:kern w:val="0"/>
          <w:sz w:val="24"/>
          <w:szCs w:val="24"/>
          <w:highlight w:val="none"/>
          <w:lang w:val="en-US" w:eastAsia="zh-CN"/>
        </w:rPr>
        <w:t xml:space="preserve">第一章 </w:t>
      </w:r>
      <w:r>
        <w:rPr>
          <w:rFonts w:hint="eastAsia" w:ascii="宋体" w:hAnsi="宋体" w:eastAsia="宋体" w:cs="宋体"/>
          <w:b/>
          <w:color w:val="000000"/>
          <w:kern w:val="0"/>
          <w:sz w:val="24"/>
          <w:szCs w:val="24"/>
          <w:highlight w:val="none"/>
        </w:rPr>
        <w:t>总则</w:t>
      </w:r>
    </w:p>
    <w:p w14:paraId="4D0A935A">
      <w:pPr>
        <w:keepNext w:val="0"/>
        <w:keepLines w:val="0"/>
        <w:pageBreakBefore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480" w:lineRule="exact"/>
        <w:ind w:firstLine="480"/>
        <w:textAlignment w:val="auto"/>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lang w:val="en-US" w:eastAsia="zh-CN"/>
        </w:rPr>
        <w:t xml:space="preserve">第一条 </w:t>
      </w:r>
      <w:r>
        <w:rPr>
          <w:rFonts w:hint="eastAsia" w:ascii="宋体" w:hAnsi="宋体" w:eastAsia="宋体" w:cs="宋体"/>
          <w:color w:val="000000"/>
          <w:kern w:val="0"/>
          <w:sz w:val="24"/>
          <w:szCs w:val="24"/>
          <w:highlight w:val="none"/>
        </w:rPr>
        <w:t>为</w:t>
      </w:r>
      <w:r>
        <w:rPr>
          <w:rFonts w:hint="eastAsia" w:ascii="宋体" w:hAnsi="宋体" w:eastAsia="宋体" w:cs="宋体"/>
          <w:color w:val="000000"/>
          <w:kern w:val="0"/>
          <w:sz w:val="24"/>
          <w:szCs w:val="24"/>
          <w:highlight w:val="none"/>
          <w:lang w:val="en-US" w:eastAsia="zh-CN"/>
        </w:rPr>
        <w:t>规范</w:t>
      </w:r>
      <w:r>
        <w:rPr>
          <w:rFonts w:hint="eastAsia" w:ascii="宋体" w:hAnsi="宋体" w:eastAsia="宋体" w:cs="宋体"/>
          <w:color w:val="000000"/>
          <w:kern w:val="0"/>
          <w:sz w:val="24"/>
          <w:szCs w:val="24"/>
          <w:highlight w:val="none"/>
        </w:rPr>
        <w:t>永兴特种材料科技股份有限公司(以下简称“公司”)市值管理行为，维护公司、投资者及其他利益相关者的合法权益，促进公司规范运作</w:t>
      </w:r>
      <w:r>
        <w:rPr>
          <w:rFonts w:hint="eastAsia" w:ascii="宋体" w:hAnsi="宋体" w:eastAsia="宋体" w:cs="宋体"/>
          <w:color w:val="000000"/>
          <w:kern w:val="0"/>
          <w:sz w:val="24"/>
          <w:szCs w:val="24"/>
          <w:highlight w:val="none"/>
          <w:lang w:eastAsia="zh-CN"/>
        </w:rPr>
        <w:t>，</w:t>
      </w:r>
      <w:r>
        <w:rPr>
          <w:rFonts w:hint="eastAsia" w:ascii="宋体" w:hAnsi="宋体" w:eastAsia="宋体" w:cs="宋体"/>
          <w:color w:val="000000"/>
          <w:kern w:val="0"/>
          <w:sz w:val="24"/>
          <w:szCs w:val="24"/>
          <w:highlight w:val="none"/>
        </w:rPr>
        <w:t>根据《中华人民共和国公司法》《中华人民共和国证券法》</w:t>
      </w:r>
      <w:r>
        <w:rPr>
          <w:rFonts w:hint="eastAsia" w:ascii="宋体" w:hAnsi="宋体" w:eastAsia="宋体" w:cs="宋体"/>
          <w:color w:val="000000"/>
          <w:kern w:val="0"/>
          <w:sz w:val="24"/>
          <w:szCs w:val="24"/>
          <w:highlight w:val="none"/>
          <w:lang w:eastAsia="zh-CN"/>
        </w:rPr>
        <w:t>《</w:t>
      </w:r>
      <w:r>
        <w:rPr>
          <w:rFonts w:hint="eastAsia" w:ascii="宋体" w:hAnsi="宋体" w:eastAsia="宋体" w:cs="宋体"/>
          <w:color w:val="000000"/>
          <w:kern w:val="0"/>
          <w:sz w:val="24"/>
          <w:szCs w:val="24"/>
          <w:highlight w:val="none"/>
        </w:rPr>
        <w:t>上市公司监管指引第10号——市值管理》《深圳证券交易所股票上市规则》等法律、法规和规范性文件及《永兴特种材料科技股份有限公司章程》(以下简称“《公司章程》”)的有关规定</w:t>
      </w:r>
      <w:r>
        <w:rPr>
          <w:rFonts w:hint="eastAsia" w:ascii="宋体" w:hAnsi="宋体" w:eastAsia="宋体" w:cs="宋体"/>
          <w:color w:val="000000"/>
          <w:kern w:val="0"/>
          <w:sz w:val="24"/>
          <w:szCs w:val="24"/>
          <w:highlight w:val="none"/>
          <w:lang w:eastAsia="zh-CN"/>
        </w:rPr>
        <w:t>，</w:t>
      </w:r>
      <w:r>
        <w:rPr>
          <w:rFonts w:hint="eastAsia" w:ascii="宋体" w:hAnsi="宋体" w:eastAsia="宋体" w:cs="宋体"/>
          <w:color w:val="000000"/>
          <w:kern w:val="0"/>
          <w:sz w:val="24"/>
          <w:szCs w:val="24"/>
          <w:highlight w:val="none"/>
        </w:rPr>
        <w:t>制定本制度。</w:t>
      </w:r>
    </w:p>
    <w:p w14:paraId="3C19B222">
      <w:pPr>
        <w:keepNext w:val="0"/>
        <w:keepLines w:val="0"/>
        <w:pageBreakBefore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480" w:lineRule="exact"/>
        <w:ind w:firstLine="480"/>
        <w:textAlignment w:val="auto"/>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lang w:val="en-US" w:eastAsia="zh-CN"/>
        </w:rPr>
        <w:t xml:space="preserve">第二条 </w:t>
      </w:r>
      <w:r>
        <w:rPr>
          <w:rFonts w:hint="eastAsia" w:ascii="宋体" w:hAnsi="宋体" w:eastAsia="宋体" w:cs="宋体"/>
          <w:color w:val="000000"/>
          <w:kern w:val="0"/>
          <w:sz w:val="24"/>
          <w:szCs w:val="24"/>
          <w:highlight w:val="none"/>
        </w:rPr>
        <w:t>本制度所指市值管理，是指上市公司以提高公司质量为基础，为提升公司投资价值和股东回报能力而实施的战略管理行为。</w:t>
      </w:r>
    </w:p>
    <w:p w14:paraId="5DC84B21">
      <w:pPr>
        <w:keepNext w:val="0"/>
        <w:keepLines w:val="0"/>
        <w:pageBreakBefore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480" w:lineRule="exact"/>
        <w:ind w:firstLine="480"/>
        <w:textAlignment w:val="auto"/>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公司应当牢固树立回报股东意识，采取措施保护投资者尤其是中小投资者利益，诚实守信、规范运作、专注主业、稳健经营，推动经营水平和发展质量提升，并在此基础上做好投资者关系管理，增强信息披露质量和透明度，必要时积极采取措施提振投资者信心，推动公司投资价值</w:t>
      </w:r>
      <w:r>
        <w:rPr>
          <w:rFonts w:hint="eastAsia" w:ascii="宋体" w:hAnsi="宋体" w:eastAsia="宋体" w:cs="宋体"/>
          <w:color w:val="000000"/>
          <w:kern w:val="0"/>
          <w:sz w:val="24"/>
          <w:szCs w:val="24"/>
          <w:highlight w:val="none"/>
          <w:lang w:val="en-US" w:eastAsia="zh-CN"/>
        </w:rPr>
        <w:t>合理、</w:t>
      </w:r>
      <w:r>
        <w:rPr>
          <w:rFonts w:hint="eastAsia" w:ascii="宋体" w:hAnsi="宋体" w:eastAsia="宋体" w:cs="宋体"/>
          <w:color w:val="000000"/>
          <w:kern w:val="0"/>
          <w:sz w:val="24"/>
          <w:szCs w:val="24"/>
          <w:highlight w:val="none"/>
        </w:rPr>
        <w:t>充分反映公司质量。</w:t>
      </w:r>
    </w:p>
    <w:p w14:paraId="56181906">
      <w:pPr>
        <w:keepNext w:val="0"/>
        <w:keepLines w:val="0"/>
        <w:pageBreakBefore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480" w:lineRule="exact"/>
        <w:jc w:val="center"/>
        <w:textAlignment w:val="auto"/>
        <w:rPr>
          <w:rFonts w:hint="eastAsia" w:ascii="宋体" w:hAnsi="宋体" w:eastAsia="宋体" w:cs="宋体"/>
          <w:b/>
          <w:color w:val="000000"/>
          <w:kern w:val="0"/>
          <w:sz w:val="24"/>
          <w:szCs w:val="24"/>
          <w:highlight w:val="none"/>
          <w:lang w:val="en-US" w:eastAsia="zh-CN"/>
        </w:rPr>
      </w:pPr>
      <w:r>
        <w:rPr>
          <w:rFonts w:hint="eastAsia" w:ascii="宋体" w:hAnsi="宋体" w:eastAsia="宋体" w:cs="宋体"/>
          <w:b/>
          <w:color w:val="000000"/>
          <w:kern w:val="0"/>
          <w:sz w:val="24"/>
          <w:szCs w:val="24"/>
          <w:highlight w:val="none"/>
          <w:lang w:val="en-US" w:eastAsia="zh-CN"/>
        </w:rPr>
        <w:t>第二章 市值管理的目的与基本原则</w:t>
      </w:r>
    </w:p>
    <w:p w14:paraId="06D366A3">
      <w:pPr>
        <w:keepNext w:val="0"/>
        <w:keepLines w:val="0"/>
        <w:pageBreakBefore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480" w:lineRule="exact"/>
        <w:ind w:firstLine="480"/>
        <w:textAlignment w:val="auto"/>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第三条 市值管理主要目的是通过充分合规的信息披露，增强公司透明度，引导公司的市场价值与内在价值趋与一致。同时，运用资本运作、权益管理、投资者关系管理等手段，提升公司投资价值，构建稳定且优质的投资者基础，获得长期的市场支持，从而达成公司整体利益与股东财富协同共进增长的目标。</w:t>
      </w:r>
    </w:p>
    <w:p w14:paraId="5A83CA7D">
      <w:pPr>
        <w:keepNext w:val="0"/>
        <w:keepLines w:val="0"/>
        <w:pageBreakBefore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480" w:lineRule="exact"/>
        <w:ind w:firstLine="480"/>
        <w:textAlignment w:val="auto"/>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第四条 市值管理的基本原则是：</w:t>
      </w:r>
    </w:p>
    <w:p w14:paraId="5DD27264">
      <w:pPr>
        <w:keepNext w:val="0"/>
        <w:keepLines w:val="0"/>
        <w:pageBreakBefore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480" w:lineRule="exact"/>
        <w:ind w:firstLine="480"/>
        <w:textAlignment w:val="auto"/>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一）系统性原则。市值管理是一项系统性工程，影响上市公司市值的因素众多且复杂，公司应当秉持系统思维，遵循整体推进的原则，协同公司各业务体系以系统化方式，全方位优化影响公司市值增长的关键要素，持续开展上市公司市值管理工作。</w:t>
      </w:r>
    </w:p>
    <w:p w14:paraId="602F735B">
      <w:pPr>
        <w:keepNext w:val="0"/>
        <w:keepLines w:val="0"/>
        <w:pageBreakBefore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480" w:lineRule="exact"/>
        <w:ind w:firstLine="480"/>
        <w:textAlignment w:val="auto"/>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（二）规范性原则。公司的市值管理工作必须严格建立在符合国家各项法律、法规、规范性文件、公司内部规章制度等要求的市值管理制度框架之上，不得进行任何形式的内幕交易、市场操纵等违法违规行为。</w:t>
      </w:r>
    </w:p>
    <w:p w14:paraId="2389EA13">
      <w:pPr>
        <w:keepNext w:val="0"/>
        <w:keepLines w:val="0"/>
        <w:pageBreakBefore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480" w:lineRule="exact"/>
        <w:ind w:firstLine="480"/>
        <w:textAlignment w:val="auto"/>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（三）科学性原则。市值管理有其客观规律，公司应当依其规律科学管理，明确市值管理的机构与职责、方式与方法、预警监控机制及禁止事项，有计划、有组织的实施</w:t>
      </w:r>
      <w:bookmarkStart w:id="0" w:name="_GoBack"/>
      <w:bookmarkEnd w:id="0"/>
      <w:r>
        <w:rPr>
          <w:rFonts w:hint="eastAsia" w:ascii="宋体" w:hAnsi="宋体" w:eastAsia="宋体" w:cs="宋体"/>
          <w:color w:val="000000"/>
          <w:kern w:val="0"/>
          <w:sz w:val="24"/>
          <w:szCs w:val="24"/>
          <w:highlight w:val="none"/>
          <w:lang w:val="en-US" w:eastAsia="zh-CN"/>
        </w:rPr>
        <w:t>市值管理工作；</w:t>
      </w:r>
    </w:p>
    <w:p w14:paraId="468CD3A6">
      <w:pPr>
        <w:keepNext w:val="0"/>
        <w:keepLines w:val="0"/>
        <w:pageBreakBefore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480" w:lineRule="exact"/>
        <w:ind w:firstLine="480"/>
        <w:textAlignment w:val="auto"/>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四）常态化原则。公司的价值培育和价值成长是一个持续的和动态的过程，因此公司的市值管理也是一个持续性、常态化的管理行为，公司应及时关注资本市场及公司股价动态，常态化主动跟进开展市值管理工作。</w:t>
      </w:r>
    </w:p>
    <w:p w14:paraId="70BB8574">
      <w:pPr>
        <w:keepNext w:val="0"/>
        <w:keepLines w:val="0"/>
        <w:pageBreakBefore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480" w:lineRule="exact"/>
        <w:jc w:val="center"/>
        <w:textAlignment w:val="auto"/>
        <w:rPr>
          <w:rFonts w:hint="eastAsia" w:ascii="宋体" w:hAnsi="宋体" w:eastAsia="宋体" w:cs="宋体"/>
          <w:b/>
          <w:color w:val="000000"/>
          <w:kern w:val="0"/>
          <w:sz w:val="24"/>
          <w:szCs w:val="24"/>
          <w:highlight w:val="none"/>
          <w:lang w:val="en-US" w:eastAsia="zh-CN"/>
        </w:rPr>
      </w:pPr>
      <w:r>
        <w:rPr>
          <w:rFonts w:hint="eastAsia" w:ascii="宋体" w:hAnsi="宋体" w:eastAsia="宋体" w:cs="宋体"/>
          <w:b/>
          <w:color w:val="000000"/>
          <w:kern w:val="0"/>
          <w:sz w:val="24"/>
          <w:szCs w:val="24"/>
          <w:highlight w:val="none"/>
          <w:lang w:val="en-US" w:eastAsia="zh-CN"/>
        </w:rPr>
        <w:t>第三章 市值管理的机构与职责</w:t>
      </w:r>
    </w:p>
    <w:p w14:paraId="1F82622C">
      <w:pPr>
        <w:keepNext w:val="0"/>
        <w:keepLines w:val="0"/>
        <w:pageBreakBefore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480" w:lineRule="exact"/>
        <w:ind w:firstLine="480"/>
        <w:textAlignment w:val="auto"/>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第五条 市值管理工作由董事会领导负责、经营管理层参与，董事会秘书是市值管理工作的具体负责人，负责统筹协调市值管理的日常执行和监督工作。公司证券部是市值管理工作的具体执行机构，负责公司的市值监测、评估，提供市值管理方案并组织实施，负责市值的日常维护管理工作。公司各部门及下属公司负责对相关生产经营、财务、市场等信息的归集工作提供支持。</w:t>
      </w:r>
    </w:p>
    <w:p w14:paraId="38F1745A">
      <w:pPr>
        <w:keepNext w:val="0"/>
        <w:keepLines w:val="0"/>
        <w:pageBreakBefore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480" w:lineRule="exact"/>
        <w:ind w:firstLine="480"/>
        <w:textAlignment w:val="auto"/>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第六条 公司董事和高级管理人员应当积极参与提升公司投资价值的各项工作，董事及高级管理人员在市值管理中的职责包括但不限于：</w:t>
      </w:r>
    </w:p>
    <w:p w14:paraId="53FEDBF6">
      <w:pPr>
        <w:keepNext w:val="0"/>
        <w:keepLines w:val="0"/>
        <w:pageBreakBefore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480" w:lineRule="exact"/>
        <w:ind w:firstLine="480"/>
        <w:textAlignment w:val="auto"/>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（一）做好公司市值管理总体策划；</w:t>
      </w:r>
    </w:p>
    <w:p w14:paraId="4DA60D43">
      <w:pPr>
        <w:keepNext w:val="0"/>
        <w:keepLines w:val="0"/>
        <w:pageBreakBefore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480" w:lineRule="exact"/>
        <w:ind w:firstLine="480"/>
        <w:textAlignment w:val="auto"/>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（二）参与制定和审议市值管理策略；</w:t>
      </w:r>
    </w:p>
    <w:p w14:paraId="310A324E">
      <w:pPr>
        <w:keepNext w:val="0"/>
        <w:keepLines w:val="0"/>
        <w:pageBreakBefore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480" w:lineRule="exact"/>
        <w:ind w:firstLine="480"/>
        <w:textAlignment w:val="auto"/>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（三）监督市值管理策略的执行情况；</w:t>
      </w:r>
    </w:p>
    <w:p w14:paraId="7492D363">
      <w:pPr>
        <w:keepNext w:val="0"/>
        <w:keepLines w:val="0"/>
        <w:pageBreakBefore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480" w:lineRule="exact"/>
        <w:ind w:firstLine="480"/>
        <w:textAlignment w:val="auto"/>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（四）在市值管理出现重大问题时，参与危机应对和决策；</w:t>
      </w:r>
    </w:p>
    <w:p w14:paraId="16737443">
      <w:pPr>
        <w:keepNext w:val="0"/>
        <w:keepLines w:val="0"/>
        <w:pageBreakBefore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480" w:lineRule="exact"/>
        <w:ind w:firstLine="480"/>
        <w:textAlignment w:val="auto"/>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（五）定期评估市值管理效果，提出改进建议；</w:t>
      </w:r>
    </w:p>
    <w:p w14:paraId="104EC87C">
      <w:pPr>
        <w:keepNext w:val="0"/>
        <w:keepLines w:val="0"/>
        <w:pageBreakBefore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480" w:lineRule="exact"/>
        <w:ind w:firstLine="480"/>
        <w:textAlignment w:val="auto"/>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（六）参加业绩说明会、投资者沟通会等各类投资者关系活动，增进投资者对公司的了解和认同。</w:t>
      </w:r>
    </w:p>
    <w:p w14:paraId="18ED4753">
      <w:pPr>
        <w:keepNext w:val="0"/>
        <w:keepLines w:val="0"/>
        <w:pageBreakBefore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480" w:lineRule="exact"/>
        <w:ind w:firstLine="480"/>
        <w:textAlignment w:val="auto"/>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第七条 董事会秘书作为市值管理具体分管负责人，职责包括但不限于：</w:t>
      </w:r>
    </w:p>
    <w:p w14:paraId="7E3A0025">
      <w:pPr>
        <w:keepNext w:val="0"/>
        <w:keepLines w:val="0"/>
        <w:pageBreakBefore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480" w:lineRule="exact"/>
        <w:ind w:firstLine="480"/>
        <w:textAlignment w:val="auto"/>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（一）做好投资者关系管理和信息披露相关工作，与投资者建立畅通的沟通机制，积极收集、分析市场各方对公司投资价值的判断和对公司经营的预期，持续提升信息披露透明度和精准度。</w:t>
      </w:r>
    </w:p>
    <w:p w14:paraId="2BEF757A">
      <w:pPr>
        <w:keepNext w:val="0"/>
        <w:keepLines w:val="0"/>
        <w:pageBreakBefore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480" w:lineRule="exact"/>
        <w:ind w:firstLine="480"/>
        <w:textAlignment w:val="auto"/>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二）加强舆情监测分析，密切关注各类媒体报道和市场传闻，发现可能对投资者决策或者公司股票交易产生较大影响的，应当及时向董事会报告。公司应当根据实际情况及时发布澄清公告等，同时可通过官方声明、召开新闻发布会等合法合规方式予以回应。</w:t>
      </w:r>
    </w:p>
    <w:p w14:paraId="6EEBD81B">
      <w:pPr>
        <w:keepNext w:val="0"/>
        <w:keepLines w:val="0"/>
        <w:pageBreakBefore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480" w:lineRule="exact"/>
        <w:ind w:firstLine="480"/>
        <w:textAlignment w:val="auto"/>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第八条 公司证券部是市值管理工作的具体执行部门，其他各职能部门及下属公司应当积极支持与配合，主要职责包括：</w:t>
      </w:r>
    </w:p>
    <w:p w14:paraId="2046ABB1">
      <w:pPr>
        <w:keepNext w:val="0"/>
        <w:keepLines w:val="0"/>
        <w:pageBreakBefore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480" w:lineRule="exact"/>
        <w:ind w:firstLine="480"/>
        <w:textAlignment w:val="auto"/>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（一）起草市值管理计划；</w:t>
      </w:r>
    </w:p>
    <w:p w14:paraId="40AF28B5">
      <w:pPr>
        <w:keepNext w:val="0"/>
        <w:keepLines w:val="0"/>
        <w:pageBreakBefore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480" w:lineRule="exact"/>
        <w:ind w:firstLine="480"/>
        <w:textAlignment w:val="auto"/>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（二）协调内外部资源执行市值管理计划；</w:t>
      </w:r>
    </w:p>
    <w:p w14:paraId="586DFFD2">
      <w:pPr>
        <w:keepNext w:val="0"/>
        <w:keepLines w:val="0"/>
        <w:pageBreakBefore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480" w:lineRule="exact"/>
        <w:ind w:firstLine="480"/>
        <w:textAlignment w:val="auto"/>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（三）监测公司股价、舆情和资本市场动态；</w:t>
      </w:r>
    </w:p>
    <w:p w14:paraId="7A013D44">
      <w:pPr>
        <w:keepNext w:val="0"/>
        <w:keepLines w:val="0"/>
        <w:pageBreakBefore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480" w:lineRule="exact"/>
        <w:ind w:firstLine="480"/>
        <w:textAlignment w:val="auto"/>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（四）分析公司市值变动原因；</w:t>
      </w:r>
    </w:p>
    <w:p w14:paraId="298309AC">
      <w:pPr>
        <w:keepNext w:val="0"/>
        <w:keepLines w:val="0"/>
        <w:pageBreakBefore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480" w:lineRule="exact"/>
        <w:ind w:firstLine="480"/>
        <w:textAlignment w:val="auto"/>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（五）定期向董事会报告市值管理情况。</w:t>
      </w:r>
    </w:p>
    <w:p w14:paraId="3EEC51F8">
      <w:pPr>
        <w:keepNext w:val="0"/>
        <w:keepLines w:val="0"/>
        <w:pageBreakBefore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480" w:lineRule="exact"/>
        <w:jc w:val="center"/>
        <w:textAlignment w:val="auto"/>
        <w:rPr>
          <w:rFonts w:hint="eastAsia" w:ascii="宋体" w:hAnsi="宋体" w:eastAsia="宋体" w:cs="宋体"/>
          <w:b/>
          <w:color w:val="000000"/>
          <w:kern w:val="0"/>
          <w:sz w:val="24"/>
          <w:szCs w:val="24"/>
          <w:highlight w:val="none"/>
          <w:lang w:val="en-US" w:eastAsia="zh-CN"/>
        </w:rPr>
      </w:pPr>
      <w:r>
        <w:rPr>
          <w:rFonts w:hint="eastAsia" w:ascii="宋体" w:hAnsi="宋体" w:eastAsia="宋体" w:cs="宋体"/>
          <w:b/>
          <w:color w:val="000000"/>
          <w:kern w:val="0"/>
          <w:sz w:val="24"/>
          <w:szCs w:val="24"/>
          <w:highlight w:val="none"/>
          <w:lang w:val="en-US" w:eastAsia="zh-CN"/>
        </w:rPr>
        <w:t>第四章 市值管理的主要方式及禁止事项</w:t>
      </w:r>
    </w:p>
    <w:p w14:paraId="38D39772">
      <w:pPr>
        <w:keepNext w:val="0"/>
        <w:keepLines w:val="0"/>
        <w:pageBreakBefore w:val="0"/>
        <w:widowControl/>
        <w:numPr>
          <w:ilvl w:val="0"/>
          <w:numId w:val="0"/>
        </w:numPr>
        <w:tabs>
          <w:tab w:val="left" w:pos="1418"/>
        </w:tabs>
        <w:kinsoku/>
        <w:wordWrap/>
        <w:overflowPunct/>
        <w:topLinePunct w:val="0"/>
        <w:autoSpaceDE/>
        <w:autoSpaceDN/>
        <w:bidi w:val="0"/>
        <w:adjustRightInd/>
        <w:snapToGrid/>
        <w:spacing w:line="480" w:lineRule="exact"/>
        <w:ind w:lef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 xml:space="preserve">第九条 </w:t>
      </w:r>
      <w:r>
        <w:rPr>
          <w:rFonts w:hint="eastAsia" w:ascii="宋体" w:hAnsi="宋体" w:eastAsia="宋体" w:cs="宋体"/>
          <w:sz w:val="24"/>
          <w:szCs w:val="24"/>
        </w:rPr>
        <w:t>公司应当聚焦主业，提升经营效率和盈利能力，同时可以结合自身实际情况，综合运用下列方式提升公司投资价值：</w:t>
      </w:r>
    </w:p>
    <w:p w14:paraId="535E4457">
      <w:pPr>
        <w:keepNext w:val="0"/>
        <w:keepLines w:val="0"/>
        <w:pageBreakBefore w:val="0"/>
        <w:widowControl/>
        <w:numPr>
          <w:ilvl w:val="0"/>
          <w:numId w:val="0"/>
        </w:numPr>
        <w:tabs>
          <w:tab w:val="left" w:pos="1418"/>
        </w:tabs>
        <w:kinsoku/>
        <w:wordWrap/>
        <w:overflowPunct/>
        <w:topLinePunct w:val="0"/>
        <w:autoSpaceDE/>
        <w:autoSpaceDN/>
        <w:bidi w:val="0"/>
        <w:adjustRightInd/>
        <w:snapToGrid/>
        <w:spacing w:line="480" w:lineRule="exact"/>
        <w:ind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并购重组。公司应积极落实发展战略，通过内生与外延式发展相结合的发展路径，根据公司战略发展规划，以及公司实际需求，适时开展并购重组业务，强化主业核心竞争力，发挥产业协同效应，拓展业务覆盖范围，从而提升公司质量和价值。</w:t>
      </w:r>
    </w:p>
    <w:p w14:paraId="231DB2E8">
      <w:pPr>
        <w:keepNext w:val="0"/>
        <w:keepLines w:val="0"/>
        <w:pageBreakBefore w:val="0"/>
        <w:widowControl/>
        <w:numPr>
          <w:ilvl w:val="0"/>
          <w:numId w:val="0"/>
        </w:numPr>
        <w:tabs>
          <w:tab w:val="left" w:pos="1418"/>
        </w:tabs>
        <w:kinsoku/>
        <w:wordWrap/>
        <w:overflowPunct/>
        <w:topLinePunct w:val="0"/>
        <w:autoSpaceDE/>
        <w:autoSpaceDN/>
        <w:bidi w:val="0"/>
        <w:adjustRightInd/>
        <w:snapToGrid/>
        <w:spacing w:line="480" w:lineRule="exact"/>
        <w:ind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股权激励、员工持股计划。适时开展股权激励和员工持股计划，充分调动公司高级管理人员、核心骨干及优秀员工的积极性，有效地将公司利益和员工个人利益紧密结合在一起，共同推进公司发展，提升盈利能力和风险管理能力，创造企业的内在价值，同时向资本市场传递公司价值，使得资本市场了解公司的内在价值，促进企业的市值管理。</w:t>
      </w:r>
    </w:p>
    <w:p w14:paraId="6B8EFE04">
      <w:pPr>
        <w:keepNext w:val="0"/>
        <w:keepLines w:val="0"/>
        <w:pageBreakBefore w:val="0"/>
        <w:widowControl/>
        <w:numPr>
          <w:ilvl w:val="0"/>
          <w:numId w:val="0"/>
        </w:numPr>
        <w:tabs>
          <w:tab w:val="left" w:pos="1418"/>
        </w:tabs>
        <w:kinsoku/>
        <w:wordWrap/>
        <w:overflowPunct/>
        <w:topLinePunct w:val="0"/>
        <w:autoSpaceDE/>
        <w:autoSpaceDN/>
        <w:bidi w:val="0"/>
        <w:adjustRightInd/>
        <w:snapToGrid/>
        <w:spacing w:line="480" w:lineRule="exact"/>
        <w:ind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三）现金分红。合理的现金分红是公司良好盈利能力的表现，可以提高股东的信心和满意度。公司应在充分享受资本市场为公司高质量发展带来便利的同时，积极实施现金分红，实实在在地回报投资者，以增强投资者获得感，培养投资者对公司长期投资理念，吸引长线投资资金。</w:t>
      </w:r>
    </w:p>
    <w:p w14:paraId="027092A8">
      <w:pPr>
        <w:keepNext w:val="0"/>
        <w:keepLines w:val="0"/>
        <w:pageBreakBefore w:val="0"/>
        <w:widowControl/>
        <w:numPr>
          <w:ilvl w:val="0"/>
          <w:numId w:val="0"/>
        </w:numPr>
        <w:tabs>
          <w:tab w:val="left" w:pos="1418"/>
        </w:tabs>
        <w:kinsoku/>
        <w:wordWrap/>
        <w:overflowPunct/>
        <w:topLinePunct w:val="0"/>
        <w:autoSpaceDE/>
        <w:autoSpaceDN/>
        <w:bidi w:val="0"/>
        <w:adjustRightInd/>
        <w:snapToGrid/>
        <w:spacing w:line="480" w:lineRule="exact"/>
        <w:ind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四）投资者关系管理。加强投资者关系日常维护工作，及时、准确、完整、合规地披露与投资者进行投资决策相关的信息。根据公司经营业绩情况或发生的重大事项，通过主动开展分析师会议、业绩说明会、路演、反路演等投资者关系活动，加强与机构投资者、个人投资者、金融机构的交流互动，争取价值认同，形成投资决策和主动推介。</w:t>
      </w:r>
    </w:p>
    <w:p w14:paraId="3FE19B4E">
      <w:pPr>
        <w:keepNext w:val="0"/>
        <w:keepLines w:val="0"/>
        <w:pageBreakBefore w:val="0"/>
        <w:widowControl/>
        <w:numPr>
          <w:ilvl w:val="0"/>
          <w:numId w:val="0"/>
        </w:numPr>
        <w:tabs>
          <w:tab w:val="left" w:pos="1418"/>
        </w:tabs>
        <w:kinsoku/>
        <w:wordWrap/>
        <w:overflowPunct/>
        <w:topLinePunct w:val="0"/>
        <w:autoSpaceDE/>
        <w:autoSpaceDN/>
        <w:bidi w:val="0"/>
        <w:adjustRightInd/>
        <w:snapToGrid/>
        <w:spacing w:line="480" w:lineRule="exact"/>
        <w:ind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五）信息披露。公司应当按照法律、法规及监管规则的要求，真实、准确、完整、及时、公平地披露可能对公司市值或者投资决策产生较大影响的信息或事项，并保证所披露简明清晰、通俗易懂，不得有虚假记载、误导性陈述或者重大遗漏，向投资者传递公司真实投资价值，促使公司市值合理反映公司价值。</w:t>
      </w:r>
    </w:p>
    <w:p w14:paraId="15385A36">
      <w:pPr>
        <w:keepNext w:val="0"/>
        <w:keepLines w:val="0"/>
        <w:pageBreakBefore w:val="0"/>
        <w:widowControl/>
        <w:numPr>
          <w:ilvl w:val="0"/>
          <w:numId w:val="0"/>
        </w:numPr>
        <w:tabs>
          <w:tab w:val="left" w:pos="1418"/>
        </w:tabs>
        <w:kinsoku/>
        <w:wordWrap/>
        <w:overflowPunct/>
        <w:topLinePunct w:val="0"/>
        <w:autoSpaceDE/>
        <w:autoSpaceDN/>
        <w:bidi w:val="0"/>
        <w:adjustRightInd/>
        <w:snapToGrid/>
        <w:spacing w:line="480" w:lineRule="exact"/>
        <w:ind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（六）</w:t>
      </w:r>
      <w:r>
        <w:rPr>
          <w:rFonts w:hint="eastAsia" w:ascii="宋体" w:hAnsi="宋体" w:cs="宋体"/>
          <w:sz w:val="24"/>
          <w:szCs w:val="24"/>
          <w:lang w:val="en-US" w:eastAsia="zh-CN"/>
        </w:rPr>
        <w:t>权益管理</w:t>
      </w:r>
      <w:r>
        <w:rPr>
          <w:rFonts w:hint="eastAsia" w:ascii="宋体" w:hAnsi="宋体" w:eastAsia="宋体" w:cs="宋体"/>
          <w:sz w:val="24"/>
          <w:szCs w:val="24"/>
          <w:lang w:val="en-US" w:eastAsia="zh-CN"/>
        </w:rPr>
        <w:t>。公司可根据公司发展需求及市场环境变化，适时开展股份回购或增持计划。公司进行权益管理，应尽量避免股价剧烈波动，促进市值稳定发展，增强投资者信心。</w:t>
      </w:r>
    </w:p>
    <w:p w14:paraId="2DCCC75B">
      <w:pPr>
        <w:keepNext w:val="0"/>
        <w:keepLines w:val="0"/>
        <w:pageBreakBefore w:val="0"/>
        <w:widowControl/>
        <w:numPr>
          <w:ilvl w:val="0"/>
          <w:numId w:val="0"/>
        </w:numPr>
        <w:tabs>
          <w:tab w:val="left" w:pos="1418"/>
        </w:tabs>
        <w:kinsoku/>
        <w:wordWrap/>
        <w:overflowPunct/>
        <w:topLinePunct w:val="0"/>
        <w:autoSpaceDE/>
        <w:autoSpaceDN/>
        <w:bidi w:val="0"/>
        <w:adjustRightInd/>
        <w:snapToGrid/>
        <w:spacing w:line="480" w:lineRule="exact"/>
        <w:ind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（七）其他合法合规的方式。除以上方式外，公司还可以在符合法律法规、部门规章、规范性文件等要求的前提下，以其他合法合规的方式开展市值管理工作。</w:t>
      </w:r>
    </w:p>
    <w:p w14:paraId="726C3AEA">
      <w:pPr>
        <w:keepNext w:val="0"/>
        <w:keepLines w:val="0"/>
        <w:pageBreakBefore w:val="0"/>
        <w:widowControl/>
        <w:numPr>
          <w:ilvl w:val="0"/>
          <w:numId w:val="0"/>
        </w:numPr>
        <w:tabs>
          <w:tab w:val="left" w:pos="1418"/>
        </w:tabs>
        <w:kinsoku/>
        <w:wordWrap/>
        <w:overflowPunct/>
        <w:topLinePunct w:val="0"/>
        <w:autoSpaceDE/>
        <w:autoSpaceDN/>
        <w:bidi w:val="0"/>
        <w:adjustRightInd/>
        <w:snapToGrid/>
        <w:spacing w:line="480" w:lineRule="exact"/>
        <w:ind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第十条 公司及其控股股东、实际控制人、董事、高级管理人员等应当切实提高合规意识，不得在市值管理中从事以下行为：</w:t>
      </w:r>
    </w:p>
    <w:p w14:paraId="35654605">
      <w:pPr>
        <w:keepNext w:val="0"/>
        <w:keepLines w:val="0"/>
        <w:pageBreakBefore w:val="0"/>
        <w:widowControl/>
        <w:numPr>
          <w:ilvl w:val="0"/>
          <w:numId w:val="0"/>
        </w:numPr>
        <w:tabs>
          <w:tab w:val="left" w:pos="1418"/>
        </w:tabs>
        <w:kinsoku/>
        <w:wordWrap/>
        <w:overflowPunct/>
        <w:topLinePunct w:val="0"/>
        <w:autoSpaceDE/>
        <w:autoSpaceDN/>
        <w:bidi w:val="0"/>
        <w:adjustRightInd/>
        <w:snapToGrid/>
        <w:spacing w:line="480" w:lineRule="exact"/>
        <w:ind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（一）操控公司信息披露，通过控制信息披露节奏、选择性披露信息、披露虚假信息等方式，误导或者欺骗投资者。</w:t>
      </w:r>
    </w:p>
    <w:p w14:paraId="591167B0">
      <w:pPr>
        <w:keepNext w:val="0"/>
        <w:keepLines w:val="0"/>
        <w:pageBreakBefore w:val="0"/>
        <w:widowControl/>
        <w:numPr>
          <w:ilvl w:val="0"/>
          <w:numId w:val="0"/>
        </w:numPr>
        <w:tabs>
          <w:tab w:val="left" w:pos="1418"/>
        </w:tabs>
        <w:kinsoku/>
        <w:wordWrap/>
        <w:overflowPunct/>
        <w:topLinePunct w:val="0"/>
        <w:autoSpaceDE/>
        <w:autoSpaceDN/>
        <w:bidi w:val="0"/>
        <w:adjustRightInd/>
        <w:snapToGrid/>
        <w:spacing w:line="480" w:lineRule="exact"/>
        <w:ind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（二）通过内幕交易、泄露内幕信息、操纵股价或者配合其他主体实施操纵行为等方式，牟取非法利益，扰乱资本市场秩序。</w:t>
      </w:r>
    </w:p>
    <w:p w14:paraId="5299517A">
      <w:pPr>
        <w:keepNext w:val="0"/>
        <w:keepLines w:val="0"/>
        <w:pageBreakBefore w:val="0"/>
        <w:widowControl/>
        <w:numPr>
          <w:ilvl w:val="0"/>
          <w:numId w:val="0"/>
        </w:numPr>
        <w:tabs>
          <w:tab w:val="left" w:pos="1418"/>
        </w:tabs>
        <w:kinsoku/>
        <w:wordWrap/>
        <w:overflowPunct/>
        <w:topLinePunct w:val="0"/>
        <w:autoSpaceDE/>
        <w:autoSpaceDN/>
        <w:bidi w:val="0"/>
        <w:adjustRightInd/>
        <w:snapToGrid/>
        <w:spacing w:line="480" w:lineRule="exact"/>
        <w:ind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（三）对公司证券及其衍生品价格等作出预测或者承诺。</w:t>
      </w:r>
    </w:p>
    <w:p w14:paraId="157888EE">
      <w:pPr>
        <w:keepNext w:val="0"/>
        <w:keepLines w:val="0"/>
        <w:pageBreakBefore w:val="0"/>
        <w:widowControl/>
        <w:numPr>
          <w:ilvl w:val="0"/>
          <w:numId w:val="0"/>
        </w:numPr>
        <w:tabs>
          <w:tab w:val="left" w:pos="1418"/>
        </w:tabs>
        <w:kinsoku/>
        <w:wordWrap/>
        <w:overflowPunct/>
        <w:topLinePunct w:val="0"/>
        <w:autoSpaceDE/>
        <w:autoSpaceDN/>
        <w:bidi w:val="0"/>
        <w:adjustRightInd/>
        <w:snapToGrid/>
        <w:spacing w:line="480" w:lineRule="exact"/>
        <w:ind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（四）未通过回购专用账户实施股份回购，未通过相应实名账户实施股份增持，股份回购</w:t>
      </w:r>
      <w:r>
        <w:rPr>
          <w:rFonts w:hint="eastAsia" w:ascii="宋体" w:hAnsi="宋体" w:cs="宋体"/>
          <w:sz w:val="24"/>
          <w:szCs w:val="24"/>
          <w:lang w:val="en-US" w:eastAsia="zh-CN"/>
        </w:rPr>
        <w:t>、</w:t>
      </w:r>
      <w:r>
        <w:rPr>
          <w:rFonts w:hint="eastAsia" w:ascii="宋体" w:hAnsi="宋体" w:eastAsia="宋体" w:cs="宋体"/>
          <w:sz w:val="24"/>
          <w:szCs w:val="24"/>
          <w:lang w:val="en-US" w:eastAsia="zh-CN"/>
        </w:rPr>
        <w:t>增持违反信息披露或股票交易等规则。</w:t>
      </w:r>
    </w:p>
    <w:p w14:paraId="44830856">
      <w:pPr>
        <w:keepNext w:val="0"/>
        <w:keepLines w:val="0"/>
        <w:pageBreakBefore w:val="0"/>
        <w:widowControl/>
        <w:numPr>
          <w:ilvl w:val="0"/>
          <w:numId w:val="0"/>
        </w:numPr>
        <w:tabs>
          <w:tab w:val="left" w:pos="1418"/>
        </w:tabs>
        <w:kinsoku/>
        <w:wordWrap/>
        <w:overflowPunct/>
        <w:topLinePunct w:val="0"/>
        <w:autoSpaceDE/>
        <w:autoSpaceDN/>
        <w:bidi w:val="0"/>
        <w:adjustRightInd/>
        <w:snapToGrid/>
        <w:spacing w:line="480" w:lineRule="exact"/>
        <w:ind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（五）直接或间接披露涉密项目信息。</w:t>
      </w:r>
    </w:p>
    <w:p w14:paraId="6EBD5C42">
      <w:pPr>
        <w:keepNext w:val="0"/>
        <w:keepLines w:val="0"/>
        <w:pageBreakBefore w:val="0"/>
        <w:widowControl/>
        <w:numPr>
          <w:ilvl w:val="0"/>
          <w:numId w:val="0"/>
        </w:numPr>
        <w:tabs>
          <w:tab w:val="left" w:pos="1418"/>
        </w:tabs>
        <w:kinsoku/>
        <w:wordWrap/>
        <w:overflowPunct/>
        <w:topLinePunct w:val="0"/>
        <w:autoSpaceDE/>
        <w:autoSpaceDN/>
        <w:bidi w:val="0"/>
        <w:adjustRightInd/>
        <w:snapToGrid/>
        <w:spacing w:line="480" w:lineRule="exact"/>
        <w:ind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（六）其他违反证券法律法规规定，影响公司证券及其衍生品种正常交易，损害公司利益及中小投资者合法权益的违法违规行为。</w:t>
      </w:r>
    </w:p>
    <w:p w14:paraId="2F5D9A5D">
      <w:pPr>
        <w:keepNext w:val="0"/>
        <w:keepLines w:val="0"/>
        <w:pageBreakBefore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480" w:lineRule="exact"/>
        <w:jc w:val="center"/>
        <w:textAlignment w:val="auto"/>
        <w:rPr>
          <w:rFonts w:hint="eastAsia" w:ascii="宋体" w:hAnsi="宋体" w:eastAsia="宋体" w:cs="宋体"/>
          <w:b/>
          <w:color w:val="000000"/>
          <w:kern w:val="0"/>
          <w:sz w:val="24"/>
          <w:szCs w:val="24"/>
          <w:highlight w:val="none"/>
          <w:lang w:val="en-US" w:eastAsia="zh-CN"/>
        </w:rPr>
      </w:pPr>
      <w:r>
        <w:rPr>
          <w:rFonts w:hint="eastAsia" w:ascii="宋体" w:hAnsi="宋体" w:eastAsia="宋体" w:cs="宋体"/>
          <w:b/>
          <w:color w:val="000000"/>
          <w:kern w:val="0"/>
          <w:sz w:val="24"/>
          <w:szCs w:val="24"/>
          <w:highlight w:val="none"/>
          <w:lang w:val="en-US" w:eastAsia="zh-CN"/>
        </w:rPr>
        <w:t>第五章 监测预警机制和应急措施</w:t>
      </w:r>
    </w:p>
    <w:p w14:paraId="41569B11">
      <w:pPr>
        <w:keepNext w:val="0"/>
        <w:keepLines w:val="0"/>
        <w:pageBreakBefore w:val="0"/>
        <w:widowControl/>
        <w:numPr>
          <w:ilvl w:val="0"/>
          <w:numId w:val="0"/>
        </w:numPr>
        <w:tabs>
          <w:tab w:val="left" w:pos="1418"/>
        </w:tabs>
        <w:kinsoku/>
        <w:wordWrap/>
        <w:overflowPunct/>
        <w:topLinePunct w:val="0"/>
        <w:autoSpaceDE/>
        <w:autoSpaceDN/>
        <w:bidi w:val="0"/>
        <w:adjustRightInd/>
        <w:snapToGrid/>
        <w:spacing w:line="480" w:lineRule="exact"/>
        <w:ind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第十一条 公司证券部应定期监测市值、市盈率、市净率等关键指标，对公司上述指标及行业平均水平进行监测预警，并设定合理的预警情形，一旦触发预警，立即启动预警机制、分析原因，并向董事会报告。董事会合法合规开展市值管理工作，促进上述指标合理反映公司质量。</w:t>
      </w:r>
    </w:p>
    <w:p w14:paraId="70EE7525">
      <w:pPr>
        <w:keepNext w:val="0"/>
        <w:keepLines w:val="0"/>
        <w:pageBreakBefore w:val="0"/>
        <w:widowControl/>
        <w:numPr>
          <w:ilvl w:val="0"/>
          <w:numId w:val="0"/>
        </w:numPr>
        <w:tabs>
          <w:tab w:val="left" w:pos="1418"/>
        </w:tabs>
        <w:kinsoku/>
        <w:wordWrap/>
        <w:overflowPunct/>
        <w:topLinePunct w:val="0"/>
        <w:autoSpaceDE/>
        <w:autoSpaceDN/>
        <w:bidi w:val="0"/>
        <w:adjustRightInd/>
        <w:snapToGrid/>
        <w:spacing w:line="480" w:lineRule="exact"/>
        <w:ind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第十二条 当公司出现股价短期连续或者大幅下跌情况时，应及时采取如下措施:</w:t>
      </w:r>
    </w:p>
    <w:p w14:paraId="6FA051AC">
      <w:pPr>
        <w:keepNext w:val="0"/>
        <w:keepLines w:val="0"/>
        <w:pageBreakBefore w:val="0"/>
        <w:widowControl/>
        <w:numPr>
          <w:ilvl w:val="0"/>
          <w:numId w:val="0"/>
        </w:numPr>
        <w:tabs>
          <w:tab w:val="left" w:pos="1418"/>
        </w:tabs>
        <w:kinsoku/>
        <w:wordWrap/>
        <w:overflowPunct/>
        <w:topLinePunct w:val="0"/>
        <w:autoSpaceDE/>
        <w:autoSpaceDN/>
        <w:bidi w:val="0"/>
        <w:adjustRightInd/>
        <w:snapToGrid/>
        <w:spacing w:line="480" w:lineRule="exact"/>
        <w:ind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（一）如为深圳证券交易所相关业务规则或深圳证券交易所认定的异常波动，公司应根据相关要求披露异常波动公告；</w:t>
      </w:r>
    </w:p>
    <w:p w14:paraId="460122DB">
      <w:pPr>
        <w:keepNext w:val="0"/>
        <w:keepLines w:val="0"/>
        <w:pageBreakBefore w:val="0"/>
        <w:widowControl/>
        <w:numPr>
          <w:ilvl w:val="0"/>
          <w:numId w:val="0"/>
        </w:numPr>
        <w:tabs>
          <w:tab w:val="left" w:pos="1418"/>
        </w:tabs>
        <w:kinsoku/>
        <w:wordWrap/>
        <w:overflowPunct/>
        <w:topLinePunct w:val="0"/>
        <w:autoSpaceDE/>
        <w:autoSpaceDN/>
        <w:bidi w:val="0"/>
        <w:adjustRightInd/>
        <w:snapToGrid/>
        <w:spacing w:line="480" w:lineRule="exact"/>
        <w:ind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（二）立即启动内部风险评估程序，由证券部牵头，联合各职能部门及下属公司，对可能导致股价下跌的内部和外部因素进行全面排查；</w:t>
      </w:r>
    </w:p>
    <w:p w14:paraId="7F2F8597">
      <w:pPr>
        <w:keepNext w:val="0"/>
        <w:keepLines w:val="0"/>
        <w:pageBreakBefore w:val="0"/>
        <w:widowControl/>
        <w:numPr>
          <w:ilvl w:val="0"/>
          <w:numId w:val="0"/>
        </w:numPr>
        <w:tabs>
          <w:tab w:val="left" w:pos="1418"/>
        </w:tabs>
        <w:kinsoku/>
        <w:wordWrap/>
        <w:overflowPunct/>
        <w:topLinePunct w:val="0"/>
        <w:autoSpaceDE/>
        <w:autoSpaceDN/>
        <w:bidi w:val="0"/>
        <w:adjustRightInd/>
        <w:snapToGrid/>
        <w:spacing w:line="480" w:lineRule="exact"/>
        <w:ind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（三）可以召开投资者交流会，对外说明公司对股价下跌原因的客观分析、公司目前的经营状况、未来的发展计划等，以及公司正在采取的应对措施；</w:t>
      </w:r>
    </w:p>
    <w:p w14:paraId="0CAF48D1">
      <w:pPr>
        <w:keepNext w:val="0"/>
        <w:keepLines w:val="0"/>
        <w:pageBreakBefore w:val="0"/>
        <w:widowControl/>
        <w:numPr>
          <w:ilvl w:val="0"/>
          <w:numId w:val="0"/>
        </w:numPr>
        <w:tabs>
          <w:tab w:val="left" w:pos="1418"/>
        </w:tabs>
        <w:kinsoku/>
        <w:wordWrap/>
        <w:overflowPunct/>
        <w:topLinePunct w:val="0"/>
        <w:autoSpaceDE/>
        <w:autoSpaceDN/>
        <w:bidi w:val="0"/>
        <w:adjustRightInd/>
        <w:snapToGrid/>
        <w:spacing w:line="480" w:lineRule="exact"/>
        <w:ind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（四）如果股价下跌是由于市场对公司某些信息的误解导致的，公司可以在符合相关规定的前提下，视情况进行自愿性披露，提供更多有助于投资者正确理解公司状况的信息。</w:t>
      </w:r>
    </w:p>
    <w:p w14:paraId="2104A9B3">
      <w:pPr>
        <w:keepNext w:val="0"/>
        <w:keepLines w:val="0"/>
        <w:pageBreakBefore w:val="0"/>
        <w:widowControl/>
        <w:numPr>
          <w:ilvl w:val="0"/>
          <w:numId w:val="0"/>
        </w:numPr>
        <w:tabs>
          <w:tab w:val="left" w:pos="1418"/>
        </w:tabs>
        <w:kinsoku/>
        <w:wordWrap/>
        <w:overflowPunct/>
        <w:topLinePunct w:val="0"/>
        <w:autoSpaceDE/>
        <w:autoSpaceDN/>
        <w:bidi w:val="0"/>
        <w:adjustRightInd/>
        <w:snapToGrid/>
        <w:spacing w:line="480" w:lineRule="exact"/>
        <w:ind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第十三条 公司股价短期连续或者大幅下跌情形包括：</w:t>
      </w:r>
    </w:p>
    <w:p w14:paraId="11CFFC91">
      <w:pPr>
        <w:keepNext w:val="0"/>
        <w:keepLines w:val="0"/>
        <w:pageBreakBefore w:val="0"/>
        <w:widowControl/>
        <w:numPr>
          <w:ilvl w:val="0"/>
          <w:numId w:val="0"/>
        </w:numPr>
        <w:tabs>
          <w:tab w:val="left" w:pos="1418"/>
        </w:tabs>
        <w:kinsoku/>
        <w:wordWrap/>
        <w:overflowPunct/>
        <w:topLinePunct w:val="0"/>
        <w:autoSpaceDE/>
        <w:autoSpaceDN/>
        <w:bidi w:val="0"/>
        <w:adjustRightInd/>
        <w:snapToGrid/>
        <w:spacing w:line="480" w:lineRule="exact"/>
        <w:ind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（一）连续20个交易日内公司股票收盘价格跌幅累计达到20%；</w:t>
      </w:r>
    </w:p>
    <w:p w14:paraId="4BF7FE33">
      <w:pPr>
        <w:keepNext w:val="0"/>
        <w:keepLines w:val="0"/>
        <w:pageBreakBefore w:val="0"/>
        <w:widowControl/>
        <w:numPr>
          <w:ilvl w:val="0"/>
          <w:numId w:val="0"/>
        </w:numPr>
        <w:tabs>
          <w:tab w:val="left" w:pos="1418"/>
        </w:tabs>
        <w:kinsoku/>
        <w:wordWrap/>
        <w:overflowPunct/>
        <w:topLinePunct w:val="0"/>
        <w:autoSpaceDE/>
        <w:autoSpaceDN/>
        <w:bidi w:val="0"/>
        <w:adjustRightInd/>
        <w:snapToGrid/>
        <w:spacing w:line="480" w:lineRule="exact"/>
        <w:ind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（二）公司股票收盘价格低于最近一年股票最高收盘价格的50%；</w:t>
      </w:r>
    </w:p>
    <w:p w14:paraId="1327188B">
      <w:pPr>
        <w:keepNext w:val="0"/>
        <w:keepLines w:val="0"/>
        <w:pageBreakBefore w:val="0"/>
        <w:widowControl/>
        <w:numPr>
          <w:ilvl w:val="0"/>
          <w:numId w:val="0"/>
        </w:numPr>
        <w:tabs>
          <w:tab w:val="left" w:pos="1418"/>
        </w:tabs>
        <w:kinsoku/>
        <w:wordWrap/>
        <w:overflowPunct/>
        <w:topLinePunct w:val="0"/>
        <w:autoSpaceDE/>
        <w:autoSpaceDN/>
        <w:bidi w:val="0"/>
        <w:adjustRightInd/>
        <w:snapToGrid/>
        <w:spacing w:line="480" w:lineRule="exact"/>
        <w:ind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（三）证券交易所规定的其他情形。</w:t>
      </w:r>
    </w:p>
    <w:p w14:paraId="60ABFA8F">
      <w:pPr>
        <w:keepNext w:val="0"/>
        <w:keepLines w:val="0"/>
        <w:pageBreakBefore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480" w:lineRule="exact"/>
        <w:jc w:val="center"/>
        <w:textAlignment w:val="auto"/>
        <w:rPr>
          <w:rFonts w:hint="eastAsia" w:ascii="宋体" w:hAnsi="宋体" w:eastAsia="宋体" w:cs="宋体"/>
          <w:b/>
          <w:color w:val="000000"/>
          <w:kern w:val="0"/>
          <w:sz w:val="24"/>
          <w:szCs w:val="24"/>
          <w:highlight w:val="none"/>
          <w:lang w:val="en-US" w:eastAsia="zh-CN"/>
        </w:rPr>
      </w:pPr>
      <w:r>
        <w:rPr>
          <w:rFonts w:hint="eastAsia" w:ascii="宋体" w:hAnsi="宋体" w:eastAsia="宋体" w:cs="宋体"/>
          <w:b/>
          <w:color w:val="000000"/>
          <w:kern w:val="0"/>
          <w:sz w:val="24"/>
          <w:szCs w:val="24"/>
          <w:highlight w:val="none"/>
          <w:lang w:val="en-US" w:eastAsia="zh-CN"/>
        </w:rPr>
        <w:t>第六章 附则</w:t>
      </w:r>
    </w:p>
    <w:p w14:paraId="72CD8006">
      <w:pPr>
        <w:keepNext w:val="0"/>
        <w:keepLines w:val="0"/>
        <w:pageBreakBefore w:val="0"/>
        <w:widowControl/>
        <w:numPr>
          <w:ilvl w:val="0"/>
          <w:numId w:val="0"/>
        </w:numPr>
        <w:tabs>
          <w:tab w:val="left" w:pos="1418"/>
        </w:tabs>
        <w:kinsoku/>
        <w:wordWrap/>
        <w:overflowPunct/>
        <w:topLinePunct w:val="0"/>
        <w:autoSpaceDE/>
        <w:autoSpaceDN/>
        <w:bidi w:val="0"/>
        <w:adjustRightInd/>
        <w:snapToGrid/>
        <w:spacing w:line="480" w:lineRule="exact"/>
        <w:ind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第十四条 本制度自公司董事会审议通过之日起生效，本制度未尽事宜，按照有关法律、法规、规范性文件和公司章程的规定执行；如本制度内容与日后颁布或修改的法律、法规、规范性文件或公司章程相抵触时，以法律、法规、规范性文件和公司章程的规定为准。</w:t>
      </w:r>
    </w:p>
    <w:p w14:paraId="193F0526">
      <w:pPr>
        <w:keepNext w:val="0"/>
        <w:keepLines w:val="0"/>
        <w:pageBreakBefore w:val="0"/>
        <w:widowControl/>
        <w:numPr>
          <w:ilvl w:val="0"/>
          <w:numId w:val="0"/>
        </w:numPr>
        <w:tabs>
          <w:tab w:val="left" w:pos="1418"/>
        </w:tabs>
        <w:kinsoku/>
        <w:wordWrap/>
        <w:overflowPunct/>
        <w:topLinePunct w:val="0"/>
        <w:autoSpaceDE/>
        <w:autoSpaceDN/>
        <w:bidi w:val="0"/>
        <w:adjustRightInd/>
        <w:snapToGrid/>
        <w:spacing w:line="480" w:lineRule="exact"/>
        <w:ind w:left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 xml:space="preserve">第十五条 </w:t>
      </w:r>
      <w:r>
        <w:rPr>
          <w:rFonts w:hint="eastAsia" w:ascii="宋体" w:hAnsi="宋体" w:eastAsia="宋体" w:cs="宋体"/>
          <w:sz w:val="24"/>
          <w:szCs w:val="24"/>
        </w:rPr>
        <w:t>本制度由公司董事会制定并负责解释。</w:t>
      </w:r>
    </w:p>
    <w:p w14:paraId="6E0CD1AE">
      <w:pPr>
        <w:keepNext w:val="0"/>
        <w:keepLines w:val="0"/>
        <w:pageBreakBefore w:val="0"/>
        <w:kinsoku/>
        <w:wordWrap/>
        <w:overflowPunct/>
        <w:topLinePunct w:val="0"/>
        <w:autoSpaceDE/>
        <w:autoSpaceDN/>
        <w:bidi w:val="0"/>
        <w:adjustRightInd/>
        <w:snapToGrid/>
        <w:spacing w:line="480" w:lineRule="exact"/>
        <w:jc w:val="right"/>
        <w:textAlignment w:val="auto"/>
        <w:rPr>
          <w:rFonts w:hint="eastAsia" w:ascii="宋体" w:hAnsi="宋体" w:eastAsia="宋体" w:cs="宋体"/>
          <w:color w:val="000000"/>
          <w:sz w:val="24"/>
          <w:szCs w:val="24"/>
          <w:highlight w:val="none"/>
        </w:rPr>
      </w:pPr>
    </w:p>
    <w:p w14:paraId="0AA645F1">
      <w:pPr>
        <w:keepNext w:val="0"/>
        <w:keepLines w:val="0"/>
        <w:pageBreakBefore w:val="0"/>
        <w:kinsoku/>
        <w:wordWrap/>
        <w:overflowPunct/>
        <w:topLinePunct w:val="0"/>
        <w:autoSpaceDE/>
        <w:autoSpaceDN/>
        <w:bidi w:val="0"/>
        <w:adjustRightInd/>
        <w:snapToGrid/>
        <w:spacing w:line="480" w:lineRule="exact"/>
        <w:jc w:val="right"/>
        <w:textAlignment w:val="auto"/>
        <w:rPr>
          <w:rFonts w:hint="eastAsia" w:ascii="宋体" w:hAnsi="宋体" w:eastAsia="宋体" w:cs="宋体"/>
          <w:sz w:val="24"/>
          <w:szCs w:val="24"/>
          <w:highlight w:val="none"/>
        </w:rPr>
      </w:pPr>
      <w:r>
        <w:rPr>
          <w:rFonts w:hint="eastAsia" w:ascii="宋体" w:hAnsi="宋体" w:eastAsia="宋体" w:cs="宋体"/>
          <w:color w:val="000000"/>
          <w:sz w:val="24"/>
          <w:szCs w:val="24"/>
          <w:highlight w:val="none"/>
        </w:rPr>
        <w:t>永兴特种材料科技股份有限公司董事会</w:t>
      </w:r>
    </w:p>
    <w:p w14:paraId="1AA241D3">
      <w:pPr>
        <w:keepNext w:val="0"/>
        <w:keepLines w:val="0"/>
        <w:pageBreakBefore w:val="0"/>
        <w:kinsoku/>
        <w:wordWrap/>
        <w:overflowPunct/>
        <w:topLinePunct w:val="0"/>
        <w:autoSpaceDE/>
        <w:autoSpaceDN/>
        <w:bidi w:val="0"/>
        <w:adjustRightInd/>
        <w:snapToGrid/>
        <w:spacing w:line="480" w:lineRule="exact"/>
        <w:jc w:val="right"/>
        <w:textAlignment w:val="auto"/>
        <w:rPr>
          <w:rFonts w:hint="eastAsia" w:ascii="宋体" w:hAnsi="宋体" w:eastAsia="宋体" w:cs="宋体"/>
          <w:sz w:val="24"/>
          <w:szCs w:val="24"/>
        </w:rPr>
      </w:pPr>
      <w:r>
        <w:rPr>
          <w:rFonts w:hint="eastAsia" w:ascii="宋体" w:hAnsi="宋体" w:eastAsia="宋体" w:cs="宋体"/>
          <w:color w:val="000000"/>
          <w:sz w:val="24"/>
          <w:szCs w:val="24"/>
          <w:highlight w:val="none"/>
        </w:rPr>
        <w:t>202</w:t>
      </w:r>
      <w:r>
        <w:rPr>
          <w:rFonts w:hint="eastAsia" w:ascii="宋体" w:hAnsi="宋体" w:eastAsia="宋体" w:cs="宋体"/>
          <w:color w:val="000000"/>
          <w:sz w:val="24"/>
          <w:szCs w:val="24"/>
          <w:highlight w:val="none"/>
          <w:lang w:val="en-US" w:eastAsia="zh-CN"/>
        </w:rPr>
        <w:t>5</w:t>
      </w:r>
      <w:r>
        <w:rPr>
          <w:rFonts w:hint="eastAsia" w:ascii="宋体" w:hAnsi="宋体" w:eastAsia="宋体" w:cs="宋体"/>
          <w:color w:val="000000"/>
          <w:sz w:val="24"/>
          <w:szCs w:val="24"/>
          <w:highlight w:val="none"/>
        </w:rPr>
        <w:t>年</w:t>
      </w:r>
      <w:r>
        <w:rPr>
          <w:rFonts w:hint="eastAsia" w:ascii="宋体" w:hAnsi="宋体" w:eastAsia="宋体" w:cs="宋体"/>
          <w:color w:val="000000"/>
          <w:sz w:val="24"/>
          <w:szCs w:val="24"/>
          <w:highlight w:val="none"/>
          <w:lang w:val="en-US" w:eastAsia="zh-CN"/>
        </w:rPr>
        <w:t>3月</w:t>
      </w:r>
    </w:p>
    <w:sectPr>
      <w:headerReference r:id="rId4" w:type="first"/>
      <w:headerReference r:id="rId3" w:type="default"/>
      <w:footerReference r:id="rId5" w:type="default"/>
      <w:pgSz w:w="11906" w:h="16838"/>
      <w:pgMar w:top="1601" w:right="1418" w:bottom="1701" w:left="1418" w:header="851"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128AE1">
    <w:pPr>
      <w:pStyle w:val="3"/>
      <w:jc w:val="center"/>
      <w:rPr>
        <w:b/>
      </w:rPr>
    </w:pPr>
    <w:r>
      <w:rPr>
        <w:rFonts w:hint="eastAsia"/>
        <w:kern w:val="0"/>
        <w:szCs w:val="21"/>
      </w:rPr>
      <w:t xml:space="preserve">第 </w:t>
    </w:r>
    <w:r>
      <w:rPr>
        <w:kern w:val="0"/>
        <w:szCs w:val="21"/>
      </w:rPr>
      <w:fldChar w:fldCharType="begin"/>
    </w:r>
    <w:r>
      <w:rPr>
        <w:kern w:val="0"/>
        <w:szCs w:val="21"/>
      </w:rPr>
      <w:instrText xml:space="preserve"> PAGE </w:instrText>
    </w:r>
    <w:r>
      <w:rPr>
        <w:kern w:val="0"/>
        <w:szCs w:val="21"/>
      </w:rPr>
      <w:fldChar w:fldCharType="separate"/>
    </w:r>
    <w:r>
      <w:rPr>
        <w:kern w:val="0"/>
        <w:szCs w:val="21"/>
      </w:rPr>
      <w:t>1</w:t>
    </w:r>
    <w:r>
      <w:rPr>
        <w:kern w:val="0"/>
        <w:szCs w:val="21"/>
      </w:rPr>
      <w:fldChar w:fldCharType="end"/>
    </w:r>
    <w:r>
      <w:rPr>
        <w:rFonts w:hint="eastAsia"/>
        <w:kern w:val="0"/>
        <w:szCs w:val="21"/>
      </w:rPr>
      <w:t xml:space="preserve"> 页 共 </w:t>
    </w:r>
    <w:r>
      <w:rPr>
        <w:kern w:val="0"/>
        <w:szCs w:val="21"/>
      </w:rPr>
      <w:fldChar w:fldCharType="begin"/>
    </w:r>
    <w:r>
      <w:rPr>
        <w:kern w:val="0"/>
        <w:szCs w:val="21"/>
      </w:rPr>
      <w:instrText xml:space="preserve"> NUMPAGES </w:instrText>
    </w:r>
    <w:r>
      <w:rPr>
        <w:kern w:val="0"/>
        <w:szCs w:val="21"/>
      </w:rPr>
      <w:fldChar w:fldCharType="separate"/>
    </w:r>
    <w:r>
      <w:rPr>
        <w:kern w:val="0"/>
        <w:szCs w:val="21"/>
      </w:rPr>
      <w:t>14</w:t>
    </w:r>
    <w:r>
      <w:rPr>
        <w:kern w:val="0"/>
        <w:szCs w:val="21"/>
      </w:rPr>
      <w:fldChar w:fldCharType="end"/>
    </w:r>
    <w:r>
      <w:rPr>
        <w:rFonts w:hint="eastAsia"/>
        <w:kern w:val="0"/>
        <w:szCs w:val="21"/>
      </w:rPr>
      <w:t xml:space="preserve"> 页</w:t>
    </w:r>
  </w:p>
  <w:p w14:paraId="2A66D9A4">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1EA350">
    <w:pPr>
      <w:pStyle w:val="4"/>
      <w:pBdr>
        <w:bottom w:val="none" w:color="auto" w:sz="0" w:space="1"/>
      </w:pBdr>
      <w:jc w:val="both"/>
    </w:pPr>
    <w:r>
      <w:drawing>
        <wp:anchor distT="0" distB="0" distL="114300" distR="114300" simplePos="0" relativeHeight="251660288" behindDoc="1" locked="0" layoutInCell="1" allowOverlap="1">
          <wp:simplePos x="0" y="0"/>
          <wp:positionH relativeFrom="column">
            <wp:posOffset>34925</wp:posOffset>
          </wp:positionH>
          <wp:positionV relativeFrom="paragraph">
            <wp:posOffset>8255</wp:posOffset>
          </wp:positionV>
          <wp:extent cx="381000" cy="403860"/>
          <wp:effectExtent l="0" t="0" r="0" b="2540"/>
          <wp:wrapThrough wrapText="bothSides">
            <wp:wrapPolygon>
              <wp:start x="0" y="0"/>
              <wp:lineTo x="0" y="21057"/>
              <wp:lineTo x="20880" y="21057"/>
              <wp:lineTo x="20880" y="0"/>
              <wp:lineTo x="0" y="0"/>
            </wp:wrapPolygon>
          </wp:wrapThrough>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
                  <a:stretch>
                    <a:fillRect/>
                  </a:stretch>
                </pic:blipFill>
                <pic:spPr>
                  <a:xfrm>
                    <a:off x="0" y="0"/>
                    <a:ext cx="381000" cy="403860"/>
                  </a:xfrm>
                  <a:prstGeom prst="rect">
                    <a:avLst/>
                  </a:prstGeom>
                  <a:noFill/>
                  <a:ln>
                    <a:noFill/>
                  </a:ln>
                </pic:spPr>
              </pic:pic>
            </a:graphicData>
          </a:graphic>
        </wp:anchor>
      </w:drawing>
    </w:r>
  </w:p>
  <w:p w14:paraId="687EA677">
    <w:pPr>
      <w:pStyle w:val="4"/>
      <w:pBdr>
        <w:bottom w:val="single" w:color="auto" w:sz="4" w:space="0"/>
      </w:pBdr>
      <w:jc w:val="center"/>
      <w:rPr>
        <w:rFonts w:hint="eastAsia"/>
      </w:rPr>
    </w:pPr>
  </w:p>
  <w:p w14:paraId="1F526375">
    <w:pPr>
      <w:pStyle w:val="4"/>
      <w:pBdr>
        <w:bottom w:val="single" w:color="auto" w:sz="4" w:space="0"/>
      </w:pBdr>
      <w:jc w:val="center"/>
    </w:pPr>
    <w:r>
      <w:rPr>
        <w:rFonts w:hint="eastAsia"/>
      </w:rPr>
      <w:t>永兴特种材料科技股份有限公司市值管理制度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036A48">
    <w:pPr>
      <w:pStyle w:val="4"/>
      <w:pBdr>
        <w:bottom w:val="none" w:color="auto" w:sz="0" w:space="1"/>
      </w:pBdr>
      <w:jc w:val="center"/>
    </w:pPr>
    <w:r>
      <w:drawing>
        <wp:anchor distT="0" distB="0" distL="114300" distR="114300" simplePos="0" relativeHeight="251659264" behindDoc="1" locked="0" layoutInCell="1" allowOverlap="1">
          <wp:simplePos x="0" y="0"/>
          <wp:positionH relativeFrom="column">
            <wp:posOffset>34925</wp:posOffset>
          </wp:positionH>
          <wp:positionV relativeFrom="paragraph">
            <wp:posOffset>8255</wp:posOffset>
          </wp:positionV>
          <wp:extent cx="381000" cy="403860"/>
          <wp:effectExtent l="0" t="0" r="0" b="2540"/>
          <wp:wrapThrough wrapText="bothSides">
            <wp:wrapPolygon>
              <wp:start x="0" y="0"/>
              <wp:lineTo x="0" y="21057"/>
              <wp:lineTo x="20880" y="21057"/>
              <wp:lineTo x="20880" y="0"/>
              <wp:lineTo x="0" y="0"/>
            </wp:wrapPolygon>
          </wp:wrapThrough>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
                  <a:stretch>
                    <a:fillRect/>
                  </a:stretch>
                </pic:blipFill>
                <pic:spPr>
                  <a:xfrm>
                    <a:off x="0" y="0"/>
                    <a:ext cx="381000" cy="403860"/>
                  </a:xfrm>
                  <a:prstGeom prst="rect">
                    <a:avLst/>
                  </a:prstGeom>
                  <a:noFill/>
                  <a:ln>
                    <a:noFill/>
                  </a:ln>
                </pic:spPr>
              </pic:pic>
            </a:graphicData>
          </a:graphic>
        </wp:anchor>
      </w:drawing>
    </w:r>
  </w:p>
  <w:p w14:paraId="42CC52AB">
    <w:pPr>
      <w:pStyle w:val="4"/>
      <w:pBdr>
        <w:bottom w:val="none" w:color="auto" w:sz="0" w:space="1"/>
      </w:pBdr>
      <w:jc w:val="both"/>
    </w:pPr>
  </w:p>
  <w:p w14:paraId="06C9A937">
    <w:pPr>
      <w:pStyle w:val="4"/>
      <w:pBdr>
        <w:bottom w:val="single" w:color="auto" w:sz="4" w:space="0"/>
      </w:pBdr>
      <w:jc w:val="center"/>
    </w:pPr>
    <w:r>
      <w:rPr>
        <w:rFonts w:hint="eastAsia"/>
      </w:rPr>
      <w:t>永兴特种材料科技股份有限公司市值管理制度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16F1"/>
    <w:rsid w:val="00000E84"/>
    <w:rsid w:val="0000184D"/>
    <w:rsid w:val="000222D2"/>
    <w:rsid w:val="00032C35"/>
    <w:rsid w:val="00044712"/>
    <w:rsid w:val="00050444"/>
    <w:rsid w:val="000520BA"/>
    <w:rsid w:val="00065774"/>
    <w:rsid w:val="00066EFB"/>
    <w:rsid w:val="0008424D"/>
    <w:rsid w:val="00085892"/>
    <w:rsid w:val="00092C5E"/>
    <w:rsid w:val="000B1287"/>
    <w:rsid w:val="000B3C87"/>
    <w:rsid w:val="000B4C33"/>
    <w:rsid w:val="000B56C9"/>
    <w:rsid w:val="000C4609"/>
    <w:rsid w:val="000D1E2C"/>
    <w:rsid w:val="000D6ABB"/>
    <w:rsid w:val="000E71C4"/>
    <w:rsid w:val="000F2E93"/>
    <w:rsid w:val="000F2FD5"/>
    <w:rsid w:val="000F7426"/>
    <w:rsid w:val="00107AAC"/>
    <w:rsid w:val="00111258"/>
    <w:rsid w:val="00132C90"/>
    <w:rsid w:val="00133778"/>
    <w:rsid w:val="00135A34"/>
    <w:rsid w:val="00144485"/>
    <w:rsid w:val="00147737"/>
    <w:rsid w:val="00151D09"/>
    <w:rsid w:val="001530C6"/>
    <w:rsid w:val="001607B2"/>
    <w:rsid w:val="0018518A"/>
    <w:rsid w:val="001928BD"/>
    <w:rsid w:val="00192E70"/>
    <w:rsid w:val="001A036A"/>
    <w:rsid w:val="001A19F9"/>
    <w:rsid w:val="001C7021"/>
    <w:rsid w:val="001D2751"/>
    <w:rsid w:val="001D3ABC"/>
    <w:rsid w:val="001F4515"/>
    <w:rsid w:val="001F7875"/>
    <w:rsid w:val="002049BD"/>
    <w:rsid w:val="00207CD0"/>
    <w:rsid w:val="0021098B"/>
    <w:rsid w:val="00214182"/>
    <w:rsid w:val="0021585F"/>
    <w:rsid w:val="002276DF"/>
    <w:rsid w:val="00232F62"/>
    <w:rsid w:val="00235C9C"/>
    <w:rsid w:val="0026171B"/>
    <w:rsid w:val="00275452"/>
    <w:rsid w:val="00280053"/>
    <w:rsid w:val="002912C3"/>
    <w:rsid w:val="00293C6F"/>
    <w:rsid w:val="002A567F"/>
    <w:rsid w:val="002A6027"/>
    <w:rsid w:val="002B036E"/>
    <w:rsid w:val="002B2230"/>
    <w:rsid w:val="002B5182"/>
    <w:rsid w:val="002B6075"/>
    <w:rsid w:val="002C04DF"/>
    <w:rsid w:val="002D2FD6"/>
    <w:rsid w:val="002E100B"/>
    <w:rsid w:val="00306975"/>
    <w:rsid w:val="00316227"/>
    <w:rsid w:val="00320F49"/>
    <w:rsid w:val="00322889"/>
    <w:rsid w:val="00325855"/>
    <w:rsid w:val="00330108"/>
    <w:rsid w:val="00342141"/>
    <w:rsid w:val="00343AEB"/>
    <w:rsid w:val="003453C6"/>
    <w:rsid w:val="00351116"/>
    <w:rsid w:val="00357EA7"/>
    <w:rsid w:val="0036278C"/>
    <w:rsid w:val="003709F5"/>
    <w:rsid w:val="00382380"/>
    <w:rsid w:val="00382A14"/>
    <w:rsid w:val="00385F69"/>
    <w:rsid w:val="0038758F"/>
    <w:rsid w:val="00394AA1"/>
    <w:rsid w:val="003A456A"/>
    <w:rsid w:val="003A6AD8"/>
    <w:rsid w:val="003B2E38"/>
    <w:rsid w:val="003C21A0"/>
    <w:rsid w:val="003C7559"/>
    <w:rsid w:val="003C7EE9"/>
    <w:rsid w:val="003D41F9"/>
    <w:rsid w:val="003F2BDB"/>
    <w:rsid w:val="003F6FF0"/>
    <w:rsid w:val="00400F5B"/>
    <w:rsid w:val="004042ED"/>
    <w:rsid w:val="00406B90"/>
    <w:rsid w:val="0041099F"/>
    <w:rsid w:val="004146CF"/>
    <w:rsid w:val="004220AB"/>
    <w:rsid w:val="004335D7"/>
    <w:rsid w:val="00435115"/>
    <w:rsid w:val="00441912"/>
    <w:rsid w:val="00460DE4"/>
    <w:rsid w:val="00462D5B"/>
    <w:rsid w:val="00464BF5"/>
    <w:rsid w:val="00472729"/>
    <w:rsid w:val="00480C62"/>
    <w:rsid w:val="00483F82"/>
    <w:rsid w:val="0048492C"/>
    <w:rsid w:val="0048545D"/>
    <w:rsid w:val="00493183"/>
    <w:rsid w:val="004A0E93"/>
    <w:rsid w:val="004B2582"/>
    <w:rsid w:val="004B2C1E"/>
    <w:rsid w:val="004C5D36"/>
    <w:rsid w:val="004C7FB1"/>
    <w:rsid w:val="004E12DE"/>
    <w:rsid w:val="004E1703"/>
    <w:rsid w:val="00510208"/>
    <w:rsid w:val="00510867"/>
    <w:rsid w:val="005148E6"/>
    <w:rsid w:val="00521C65"/>
    <w:rsid w:val="00526264"/>
    <w:rsid w:val="00541947"/>
    <w:rsid w:val="0055044C"/>
    <w:rsid w:val="00556957"/>
    <w:rsid w:val="00563486"/>
    <w:rsid w:val="005676D4"/>
    <w:rsid w:val="00567DFB"/>
    <w:rsid w:val="005720CB"/>
    <w:rsid w:val="00575DD1"/>
    <w:rsid w:val="005816F1"/>
    <w:rsid w:val="00582BC3"/>
    <w:rsid w:val="005839E5"/>
    <w:rsid w:val="0058663F"/>
    <w:rsid w:val="005959CC"/>
    <w:rsid w:val="005A0036"/>
    <w:rsid w:val="005B0A92"/>
    <w:rsid w:val="005B22A2"/>
    <w:rsid w:val="005C0553"/>
    <w:rsid w:val="005D02A9"/>
    <w:rsid w:val="005E4A51"/>
    <w:rsid w:val="005E5D36"/>
    <w:rsid w:val="005F0345"/>
    <w:rsid w:val="005F1284"/>
    <w:rsid w:val="005F38A1"/>
    <w:rsid w:val="005F4197"/>
    <w:rsid w:val="00600193"/>
    <w:rsid w:val="006062C1"/>
    <w:rsid w:val="00610943"/>
    <w:rsid w:val="00623C89"/>
    <w:rsid w:val="00623DC2"/>
    <w:rsid w:val="00630C3D"/>
    <w:rsid w:val="0063307D"/>
    <w:rsid w:val="00635096"/>
    <w:rsid w:val="00641428"/>
    <w:rsid w:val="006509F6"/>
    <w:rsid w:val="00651951"/>
    <w:rsid w:val="0067273C"/>
    <w:rsid w:val="0067470E"/>
    <w:rsid w:val="006841FB"/>
    <w:rsid w:val="00691090"/>
    <w:rsid w:val="006A45A2"/>
    <w:rsid w:val="006B4E90"/>
    <w:rsid w:val="006B72E5"/>
    <w:rsid w:val="006C0048"/>
    <w:rsid w:val="006C22F3"/>
    <w:rsid w:val="006C7BCD"/>
    <w:rsid w:val="006C7BF6"/>
    <w:rsid w:val="006D4DBA"/>
    <w:rsid w:val="006E03D5"/>
    <w:rsid w:val="006E224A"/>
    <w:rsid w:val="006E78B8"/>
    <w:rsid w:val="00715F0F"/>
    <w:rsid w:val="00732191"/>
    <w:rsid w:val="00737834"/>
    <w:rsid w:val="0074429D"/>
    <w:rsid w:val="00752628"/>
    <w:rsid w:val="0075336F"/>
    <w:rsid w:val="0075525B"/>
    <w:rsid w:val="007555EB"/>
    <w:rsid w:val="00757272"/>
    <w:rsid w:val="00762AA5"/>
    <w:rsid w:val="0076387A"/>
    <w:rsid w:val="00765DF4"/>
    <w:rsid w:val="007670B1"/>
    <w:rsid w:val="00770642"/>
    <w:rsid w:val="00772197"/>
    <w:rsid w:val="00793ADB"/>
    <w:rsid w:val="00794E4B"/>
    <w:rsid w:val="007A3642"/>
    <w:rsid w:val="007A7D45"/>
    <w:rsid w:val="007B1634"/>
    <w:rsid w:val="007B24F0"/>
    <w:rsid w:val="007C739C"/>
    <w:rsid w:val="007E4509"/>
    <w:rsid w:val="007E4B47"/>
    <w:rsid w:val="007E61A0"/>
    <w:rsid w:val="007F5A0F"/>
    <w:rsid w:val="00811DF4"/>
    <w:rsid w:val="00822749"/>
    <w:rsid w:val="008254C1"/>
    <w:rsid w:val="008336F9"/>
    <w:rsid w:val="00833BF2"/>
    <w:rsid w:val="00845D60"/>
    <w:rsid w:val="008536A0"/>
    <w:rsid w:val="008640A0"/>
    <w:rsid w:val="00865D5E"/>
    <w:rsid w:val="00880E5B"/>
    <w:rsid w:val="008838E8"/>
    <w:rsid w:val="00883E62"/>
    <w:rsid w:val="008850C7"/>
    <w:rsid w:val="008A342B"/>
    <w:rsid w:val="008B15C1"/>
    <w:rsid w:val="008B69F6"/>
    <w:rsid w:val="008C3CEE"/>
    <w:rsid w:val="008C7F25"/>
    <w:rsid w:val="008D65D1"/>
    <w:rsid w:val="008E5C59"/>
    <w:rsid w:val="00901C68"/>
    <w:rsid w:val="00903950"/>
    <w:rsid w:val="00912D55"/>
    <w:rsid w:val="00932D98"/>
    <w:rsid w:val="00936A1D"/>
    <w:rsid w:val="00943F43"/>
    <w:rsid w:val="00944EEA"/>
    <w:rsid w:val="00952A95"/>
    <w:rsid w:val="00956919"/>
    <w:rsid w:val="009602D5"/>
    <w:rsid w:val="00962720"/>
    <w:rsid w:val="009721F3"/>
    <w:rsid w:val="00983BA3"/>
    <w:rsid w:val="00985803"/>
    <w:rsid w:val="00987981"/>
    <w:rsid w:val="00993AF1"/>
    <w:rsid w:val="00996935"/>
    <w:rsid w:val="009A57C8"/>
    <w:rsid w:val="009B294B"/>
    <w:rsid w:val="009C4E68"/>
    <w:rsid w:val="009C68CA"/>
    <w:rsid w:val="009D1530"/>
    <w:rsid w:val="009D776C"/>
    <w:rsid w:val="009E2087"/>
    <w:rsid w:val="009F3ADF"/>
    <w:rsid w:val="00A149EB"/>
    <w:rsid w:val="00A14EAA"/>
    <w:rsid w:val="00A166B6"/>
    <w:rsid w:val="00A16E02"/>
    <w:rsid w:val="00A201BD"/>
    <w:rsid w:val="00A41AB9"/>
    <w:rsid w:val="00A44472"/>
    <w:rsid w:val="00A56CEA"/>
    <w:rsid w:val="00A6747E"/>
    <w:rsid w:val="00A825AA"/>
    <w:rsid w:val="00A9076F"/>
    <w:rsid w:val="00A958B6"/>
    <w:rsid w:val="00AA2AA6"/>
    <w:rsid w:val="00AB26A6"/>
    <w:rsid w:val="00AB3891"/>
    <w:rsid w:val="00AC721B"/>
    <w:rsid w:val="00AC7CC7"/>
    <w:rsid w:val="00AD22A0"/>
    <w:rsid w:val="00AE47E4"/>
    <w:rsid w:val="00AE5EC7"/>
    <w:rsid w:val="00AF2544"/>
    <w:rsid w:val="00B009E9"/>
    <w:rsid w:val="00B03F86"/>
    <w:rsid w:val="00B06F55"/>
    <w:rsid w:val="00B13566"/>
    <w:rsid w:val="00B35EF9"/>
    <w:rsid w:val="00B37B44"/>
    <w:rsid w:val="00B52CF7"/>
    <w:rsid w:val="00B53D12"/>
    <w:rsid w:val="00B57BDB"/>
    <w:rsid w:val="00B61B87"/>
    <w:rsid w:val="00B7146A"/>
    <w:rsid w:val="00B73301"/>
    <w:rsid w:val="00B75C21"/>
    <w:rsid w:val="00BA2A1C"/>
    <w:rsid w:val="00BA3393"/>
    <w:rsid w:val="00BA5760"/>
    <w:rsid w:val="00BC28CA"/>
    <w:rsid w:val="00BD44BA"/>
    <w:rsid w:val="00BD79C2"/>
    <w:rsid w:val="00BE1795"/>
    <w:rsid w:val="00BE5C2F"/>
    <w:rsid w:val="00BF3146"/>
    <w:rsid w:val="00C14113"/>
    <w:rsid w:val="00C21508"/>
    <w:rsid w:val="00C21A79"/>
    <w:rsid w:val="00C21FC9"/>
    <w:rsid w:val="00C27DA1"/>
    <w:rsid w:val="00C307D2"/>
    <w:rsid w:val="00C36A0F"/>
    <w:rsid w:val="00C45DB9"/>
    <w:rsid w:val="00C502FC"/>
    <w:rsid w:val="00C54E37"/>
    <w:rsid w:val="00C7114B"/>
    <w:rsid w:val="00C73507"/>
    <w:rsid w:val="00C775BC"/>
    <w:rsid w:val="00C90BD2"/>
    <w:rsid w:val="00C94AA5"/>
    <w:rsid w:val="00CA2A9B"/>
    <w:rsid w:val="00CB2936"/>
    <w:rsid w:val="00CB44A9"/>
    <w:rsid w:val="00CB46BE"/>
    <w:rsid w:val="00CB6A96"/>
    <w:rsid w:val="00CC7D9E"/>
    <w:rsid w:val="00CD6DE3"/>
    <w:rsid w:val="00CD7CB9"/>
    <w:rsid w:val="00CE04D5"/>
    <w:rsid w:val="00CE18F8"/>
    <w:rsid w:val="00D01907"/>
    <w:rsid w:val="00D06907"/>
    <w:rsid w:val="00D06B1D"/>
    <w:rsid w:val="00D35DCB"/>
    <w:rsid w:val="00D376E1"/>
    <w:rsid w:val="00D44F3D"/>
    <w:rsid w:val="00D4598B"/>
    <w:rsid w:val="00D52A54"/>
    <w:rsid w:val="00D54078"/>
    <w:rsid w:val="00D56CB3"/>
    <w:rsid w:val="00D6040F"/>
    <w:rsid w:val="00D877E8"/>
    <w:rsid w:val="00D87D39"/>
    <w:rsid w:val="00D937AD"/>
    <w:rsid w:val="00DA02E4"/>
    <w:rsid w:val="00DA195A"/>
    <w:rsid w:val="00DA6191"/>
    <w:rsid w:val="00DB02BC"/>
    <w:rsid w:val="00DC1A7F"/>
    <w:rsid w:val="00DC39BE"/>
    <w:rsid w:val="00DE20CC"/>
    <w:rsid w:val="00DE31E2"/>
    <w:rsid w:val="00DF4439"/>
    <w:rsid w:val="00E00B80"/>
    <w:rsid w:val="00E01420"/>
    <w:rsid w:val="00E045D4"/>
    <w:rsid w:val="00E14B6A"/>
    <w:rsid w:val="00E153E4"/>
    <w:rsid w:val="00E261BA"/>
    <w:rsid w:val="00E35A4A"/>
    <w:rsid w:val="00E506FC"/>
    <w:rsid w:val="00E579DD"/>
    <w:rsid w:val="00E6544B"/>
    <w:rsid w:val="00E84DF9"/>
    <w:rsid w:val="00E91A9C"/>
    <w:rsid w:val="00E96D67"/>
    <w:rsid w:val="00EA07B3"/>
    <w:rsid w:val="00EA300D"/>
    <w:rsid w:val="00EB2011"/>
    <w:rsid w:val="00EC181A"/>
    <w:rsid w:val="00EC1E4E"/>
    <w:rsid w:val="00EC391B"/>
    <w:rsid w:val="00ED1CAE"/>
    <w:rsid w:val="00ED33AB"/>
    <w:rsid w:val="00EF7282"/>
    <w:rsid w:val="00F000E1"/>
    <w:rsid w:val="00F022B8"/>
    <w:rsid w:val="00F03C52"/>
    <w:rsid w:val="00F10166"/>
    <w:rsid w:val="00F14561"/>
    <w:rsid w:val="00F403AC"/>
    <w:rsid w:val="00F41B5D"/>
    <w:rsid w:val="00F41BFE"/>
    <w:rsid w:val="00F45A0D"/>
    <w:rsid w:val="00F46573"/>
    <w:rsid w:val="00F5482E"/>
    <w:rsid w:val="00F54AAE"/>
    <w:rsid w:val="00F56E84"/>
    <w:rsid w:val="00F61521"/>
    <w:rsid w:val="00F70BF5"/>
    <w:rsid w:val="00F72CC1"/>
    <w:rsid w:val="00F7653D"/>
    <w:rsid w:val="00FA1F65"/>
    <w:rsid w:val="00FA46BA"/>
    <w:rsid w:val="00FC2B24"/>
    <w:rsid w:val="00FD549B"/>
    <w:rsid w:val="00FE11E4"/>
    <w:rsid w:val="00FF1A32"/>
    <w:rsid w:val="00FF4C9E"/>
    <w:rsid w:val="00FF7781"/>
    <w:rsid w:val="142E0338"/>
    <w:rsid w:val="145621DB"/>
    <w:rsid w:val="16183346"/>
    <w:rsid w:val="18BC33A1"/>
    <w:rsid w:val="2152537B"/>
    <w:rsid w:val="248F097F"/>
    <w:rsid w:val="284673C2"/>
    <w:rsid w:val="297211FB"/>
    <w:rsid w:val="29C64ABB"/>
    <w:rsid w:val="2C417AB8"/>
    <w:rsid w:val="2DC260BE"/>
    <w:rsid w:val="356B3E29"/>
    <w:rsid w:val="37093D91"/>
    <w:rsid w:val="3FFC1167"/>
    <w:rsid w:val="44463221"/>
    <w:rsid w:val="4BFD7A3B"/>
    <w:rsid w:val="4D862F9F"/>
    <w:rsid w:val="4DFB1164"/>
    <w:rsid w:val="57623192"/>
    <w:rsid w:val="5D8365CC"/>
    <w:rsid w:val="5EB53E98"/>
    <w:rsid w:val="619F3C55"/>
    <w:rsid w:val="66F7587E"/>
    <w:rsid w:val="678E6299"/>
    <w:rsid w:val="69762F2C"/>
    <w:rsid w:val="6DD67139"/>
    <w:rsid w:val="6DEC343F"/>
    <w:rsid w:val="785151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qFormat/>
    <w:uiPriority w:val="0"/>
    <w:rPr>
      <w:sz w:val="18"/>
      <w:szCs w:val="18"/>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Char Char Char Char1 Char Char Char Char Char Char Char Char Char1 Char Char Char Char Char Char Char Char Char Char Char Char"/>
    <w:basedOn w:val="1"/>
    <w:qFormat/>
    <w:uiPriority w:val="0"/>
    <w:pPr>
      <w:widowControl/>
      <w:spacing w:after="160" w:line="240" w:lineRule="exact"/>
      <w:jc w:val="left"/>
    </w:pPr>
    <w:rPr>
      <w:kern w:val="0"/>
      <w:sz w:val="20"/>
      <w:szCs w:val="20"/>
    </w:rPr>
  </w:style>
  <w:style w:type="paragraph" w:styleId="9">
    <w:name w:val="List Paragraph"/>
    <w:basedOn w:val="1"/>
    <w:qFormat/>
    <w:uiPriority w:val="34"/>
    <w:pPr>
      <w:ind w:firstLine="420" w:firstLineChars="200"/>
    </w:pPr>
  </w:style>
  <w:style w:type="character" w:customStyle="1" w:styleId="10">
    <w:name w:val="批注框文本 字符"/>
    <w:link w:val="2"/>
    <w:qFormat/>
    <w:uiPriority w:val="0"/>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5</Pages>
  <Words>3579</Words>
  <Characters>3588</Characters>
  <Lines>60</Lines>
  <Paragraphs>16</Paragraphs>
  <TotalTime>0</TotalTime>
  <ScaleCrop>false</ScaleCrop>
  <LinksUpToDate>false</LinksUpToDate>
  <CharactersWithSpaces>3609</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2015-06-06T04:20:00Z</dcterms:created>
  <dc:creator>Llinks</dc:creator>
  <cp:lastModifiedBy>lln</cp:lastModifiedBy>
  <dcterms:modified xsi:type="dcterms:W3CDTF">2025-03-24T07:19:58Z</dcterms:modified>
  <dc:title>议案十四</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eyJoZGlkIjoiOTY5MGY0N2RkMmFlNDMzZDk2OWQ4NzBkNDJjZTc3NjciLCJ1c2VySWQiOiI3Mjk5Njk2NTYifQ==</vt:lpwstr>
  </property>
  <property fmtid="{D5CDD505-2E9C-101B-9397-08002B2CF9AE}" pid="3" name="KSOProductBuildVer">
    <vt:lpwstr>2052-12.1.0.20305</vt:lpwstr>
  </property>
  <property fmtid="{D5CDD505-2E9C-101B-9397-08002B2CF9AE}" pid="4" name="ICV">
    <vt:lpwstr>3732680A5913413CAC72EC35AEB7CD9C_13</vt:lpwstr>
  </property>
</Properties>
</file>