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474139D">
      <w:pPr>
        <w:spacing w:line="298" w:lineRule="auto"/>
        <w:jc w:val="center"/>
        <w:rPr>
          <w:rFonts w:ascii="宋体" w:hAnsi="宋体" w:cs="宋体"/>
          <w:b/>
          <w:sz w:val="32"/>
          <w:szCs w:val="32"/>
        </w:rPr>
      </w:pPr>
      <w:r>
        <w:rPr>
          <w:rFonts w:hint="eastAsia" w:ascii="宋体" w:hAnsi="宋体" w:cs="宋体"/>
          <w:b/>
          <w:sz w:val="32"/>
          <w:szCs w:val="32"/>
        </w:rPr>
        <w:t>永兴特种材料科技股份有限公司</w:t>
      </w:r>
      <w:r>
        <w:rPr>
          <w:rFonts w:hint="eastAsia" w:ascii="宋体" w:hAnsi="宋体" w:cs="宋体"/>
          <w:b/>
          <w:sz w:val="32"/>
          <w:szCs w:val="32"/>
        </w:rPr>
        <w:br w:type="textWrapping"/>
      </w:r>
      <w:r>
        <w:rPr>
          <w:rFonts w:hint="eastAsia" w:ascii="宋体" w:hAnsi="宋体" w:cs="宋体"/>
          <w:b/>
          <w:sz w:val="32"/>
          <w:szCs w:val="32"/>
        </w:rPr>
        <w:t>对外投资管理制度</w:t>
      </w:r>
      <w:bookmarkStart w:id="0" w:name="_GoBack"/>
      <w:bookmarkEnd w:id="0"/>
    </w:p>
    <w:p w14:paraId="6FC38D1D">
      <w:pPr>
        <w:spacing w:line="298" w:lineRule="auto"/>
        <w:jc w:val="center"/>
        <w:rPr>
          <w:rFonts w:ascii="宋体" w:hAnsi="宋体" w:cs="宋体"/>
          <w:b/>
          <w:sz w:val="30"/>
          <w:szCs w:val="30"/>
        </w:rPr>
      </w:pPr>
    </w:p>
    <w:p w14:paraId="310DC77C">
      <w:pPr>
        <w:numPr>
          <w:ilvl w:val="0"/>
          <w:numId w:val="1"/>
        </w:numPr>
        <w:tabs>
          <w:tab w:val="left" w:pos="1080"/>
          <w:tab w:val="clear" w:pos="4260"/>
        </w:tabs>
        <w:spacing w:line="298" w:lineRule="auto"/>
        <w:ind w:left="0" w:firstLine="0"/>
        <w:jc w:val="center"/>
        <w:rPr>
          <w:rFonts w:ascii="宋体" w:hAnsi="宋体" w:cs="宋体"/>
          <w:b/>
          <w:sz w:val="24"/>
        </w:rPr>
      </w:pPr>
      <w:r>
        <w:rPr>
          <w:rFonts w:hint="eastAsia" w:ascii="宋体" w:hAnsi="宋体" w:cs="宋体"/>
          <w:b/>
          <w:sz w:val="24"/>
        </w:rPr>
        <w:t>总则</w:t>
      </w:r>
    </w:p>
    <w:p w14:paraId="32FC6FCF">
      <w:pPr>
        <w:tabs>
          <w:tab w:val="left" w:pos="1440"/>
          <w:tab w:val="left" w:pos="1980"/>
        </w:tabs>
        <w:spacing w:line="298" w:lineRule="auto"/>
        <w:rPr>
          <w:rFonts w:ascii="宋体" w:hAnsi="宋体" w:cs="宋体"/>
          <w:b/>
          <w:sz w:val="24"/>
        </w:rPr>
      </w:pPr>
    </w:p>
    <w:p w14:paraId="3CE34238">
      <w:pPr>
        <w:numPr>
          <w:ilvl w:val="1"/>
          <w:numId w:val="2"/>
        </w:numPr>
        <w:tabs>
          <w:tab w:val="left" w:pos="1440"/>
          <w:tab w:val="left" w:pos="1980"/>
          <w:tab w:val="clear" w:pos="816"/>
        </w:tabs>
        <w:spacing w:line="298" w:lineRule="auto"/>
        <w:ind w:left="1440" w:hanging="1440"/>
        <w:rPr>
          <w:rFonts w:ascii="宋体" w:hAnsi="宋体" w:cs="宋体"/>
          <w:sz w:val="24"/>
        </w:rPr>
      </w:pPr>
      <w:r>
        <w:rPr>
          <w:rFonts w:hint="eastAsia" w:ascii="宋体" w:hAnsi="宋体" w:cs="宋体"/>
          <w:sz w:val="24"/>
        </w:rPr>
        <w:t>为了加强永兴特种材料科技股份有限公司(下称“公司”)对外投资活动的内部控制, 规范对外投资行为, 有效防范公司对外投资风险, 确保公司对外投资安全, 提高对外投资效益, 根据《中华人民共和国公司法》</w:t>
      </w:r>
      <w:r>
        <w:rPr>
          <w:rFonts w:hint="eastAsia" w:ascii="宋体" w:hAnsi="宋体" w:cs="宋体"/>
          <w:sz w:val="23"/>
          <w:szCs w:val="23"/>
        </w:rPr>
        <w:t>等法律、法规和规范性文件、证券交易所有关规定以及</w:t>
      </w:r>
      <w:r>
        <w:rPr>
          <w:rFonts w:hint="eastAsia" w:ascii="宋体" w:hAnsi="宋体" w:cs="宋体"/>
          <w:sz w:val="24"/>
        </w:rPr>
        <w:t>本公司章程的相关规定, 特制定本制度。</w:t>
      </w:r>
    </w:p>
    <w:p w14:paraId="0D702D2D">
      <w:pPr>
        <w:spacing w:line="298" w:lineRule="auto"/>
        <w:rPr>
          <w:rFonts w:ascii="宋体" w:hAnsi="宋体" w:cs="宋体"/>
          <w:sz w:val="24"/>
        </w:rPr>
      </w:pPr>
      <w:r>
        <w:rPr>
          <w:rFonts w:hint="eastAsia" w:ascii="宋体" w:hAnsi="宋体" w:cs="宋体"/>
          <w:sz w:val="24"/>
        </w:rPr>
        <w:t xml:space="preserve"> </w:t>
      </w:r>
    </w:p>
    <w:p w14:paraId="005E98D1">
      <w:pPr>
        <w:numPr>
          <w:ilvl w:val="1"/>
          <w:numId w:val="2"/>
        </w:numPr>
        <w:tabs>
          <w:tab w:val="left" w:pos="1440"/>
          <w:tab w:val="left" w:pos="1980"/>
          <w:tab w:val="clear" w:pos="816"/>
        </w:tabs>
        <w:spacing w:line="298" w:lineRule="auto"/>
        <w:ind w:left="1440" w:hanging="1440"/>
        <w:rPr>
          <w:rFonts w:ascii="宋体" w:hAnsi="宋体" w:cs="宋体"/>
          <w:sz w:val="24"/>
        </w:rPr>
      </w:pPr>
      <w:r>
        <w:rPr>
          <w:rFonts w:hint="eastAsia" w:ascii="宋体" w:hAnsi="宋体" w:cs="宋体"/>
          <w:sz w:val="24"/>
        </w:rPr>
        <w:t>本制度所称对外投资是指公司为扩大生产经营规模或实施新产品战略, 以获取长期收益为目的, 将现金、实物、无形资产等可供支配的资源投向其他组织或个人或购买固定资产的行为, 包括但不限于投资新建全资企业、与其他单位进行联营、合营、兼并或进行股权收购、转让、项目资本增减、购买机器设备及房产土地等。</w:t>
      </w:r>
    </w:p>
    <w:p w14:paraId="3FE5A61E">
      <w:pPr>
        <w:tabs>
          <w:tab w:val="left" w:pos="1440"/>
        </w:tabs>
        <w:spacing w:line="298" w:lineRule="auto"/>
        <w:ind w:left="1440" w:hanging="1440" w:hangingChars="600"/>
        <w:rPr>
          <w:rFonts w:ascii="宋体" w:hAnsi="宋体" w:cs="宋体"/>
          <w:sz w:val="24"/>
        </w:rPr>
      </w:pPr>
    </w:p>
    <w:p w14:paraId="70E98698">
      <w:pPr>
        <w:numPr>
          <w:ilvl w:val="1"/>
          <w:numId w:val="2"/>
        </w:numPr>
        <w:tabs>
          <w:tab w:val="left" w:pos="1440"/>
          <w:tab w:val="left" w:pos="1980"/>
          <w:tab w:val="clear" w:pos="816"/>
        </w:tabs>
        <w:spacing w:line="298" w:lineRule="auto"/>
        <w:ind w:left="1440" w:hanging="1440"/>
        <w:rPr>
          <w:rFonts w:ascii="宋体" w:hAnsi="宋体" w:cs="宋体"/>
          <w:sz w:val="24"/>
        </w:rPr>
      </w:pPr>
      <w:r>
        <w:rPr>
          <w:rFonts w:hint="eastAsia" w:ascii="宋体" w:hAnsi="宋体" w:cs="宋体"/>
          <w:sz w:val="24"/>
        </w:rPr>
        <w:t>公司所有投资行为必须符合国家有关法规及产业政策, 符合公司长远发展计划和发展战略, 有利于拓展主营业务, 扩大再生产, 有利于公司的可持续发展, 有利于提高公司的整体经济利益。</w:t>
      </w:r>
    </w:p>
    <w:p w14:paraId="74FC069A">
      <w:pPr>
        <w:tabs>
          <w:tab w:val="left" w:pos="1980"/>
        </w:tabs>
        <w:spacing w:line="298" w:lineRule="auto"/>
        <w:ind w:left="1440"/>
        <w:rPr>
          <w:rFonts w:ascii="宋体" w:hAnsi="宋体" w:cs="宋体"/>
          <w:sz w:val="24"/>
        </w:rPr>
      </w:pPr>
    </w:p>
    <w:p w14:paraId="6DDAA58D">
      <w:pPr>
        <w:tabs>
          <w:tab w:val="left" w:pos="1980"/>
        </w:tabs>
        <w:spacing w:line="298" w:lineRule="auto"/>
        <w:ind w:left="1440"/>
        <w:rPr>
          <w:rFonts w:ascii="宋体" w:hAnsi="宋体" w:cs="宋体"/>
          <w:sz w:val="24"/>
        </w:rPr>
      </w:pPr>
      <w:r>
        <w:rPr>
          <w:rFonts w:hint="eastAsia" w:ascii="宋体" w:hAnsi="宋体" w:cs="宋体"/>
          <w:sz w:val="24"/>
        </w:rPr>
        <w:t>根据国家对投资行为管理的有关要求, 需要报政府部门审批的, 应履行必要的报批手续。</w:t>
      </w:r>
    </w:p>
    <w:p w14:paraId="2E39E1A7">
      <w:pPr>
        <w:spacing w:line="298" w:lineRule="auto"/>
        <w:rPr>
          <w:rFonts w:ascii="宋体" w:hAnsi="宋体" w:cs="宋体"/>
          <w:sz w:val="24"/>
        </w:rPr>
      </w:pPr>
    </w:p>
    <w:p w14:paraId="62D6C3DD">
      <w:pPr>
        <w:numPr>
          <w:ilvl w:val="0"/>
          <w:numId w:val="1"/>
        </w:numPr>
        <w:tabs>
          <w:tab w:val="left" w:pos="1080"/>
          <w:tab w:val="clear" w:pos="4260"/>
        </w:tabs>
        <w:spacing w:line="298" w:lineRule="auto"/>
        <w:ind w:left="0" w:firstLine="0"/>
        <w:jc w:val="center"/>
        <w:rPr>
          <w:rFonts w:ascii="宋体" w:hAnsi="宋体" w:cs="宋体"/>
          <w:b/>
          <w:sz w:val="24"/>
        </w:rPr>
      </w:pPr>
      <w:r>
        <w:rPr>
          <w:rFonts w:hint="eastAsia" w:ascii="宋体" w:hAnsi="宋体" w:cs="宋体"/>
          <w:b/>
          <w:sz w:val="24"/>
        </w:rPr>
        <w:t>投资决策</w:t>
      </w:r>
    </w:p>
    <w:p w14:paraId="054AC367">
      <w:pPr>
        <w:spacing w:line="298" w:lineRule="auto"/>
        <w:ind w:left="3435"/>
        <w:rPr>
          <w:rFonts w:ascii="宋体" w:hAnsi="宋体" w:cs="宋体"/>
          <w:b/>
          <w:sz w:val="24"/>
        </w:rPr>
      </w:pPr>
    </w:p>
    <w:p w14:paraId="42959AE1">
      <w:pPr>
        <w:numPr>
          <w:ilvl w:val="1"/>
          <w:numId w:val="2"/>
        </w:numPr>
        <w:tabs>
          <w:tab w:val="left" w:pos="1440"/>
          <w:tab w:val="left" w:pos="1980"/>
          <w:tab w:val="clear" w:pos="816"/>
        </w:tabs>
        <w:spacing w:line="298" w:lineRule="auto"/>
        <w:ind w:left="1440" w:hanging="1440"/>
        <w:rPr>
          <w:rFonts w:ascii="宋体" w:hAnsi="宋体" w:cs="宋体"/>
          <w:sz w:val="24"/>
        </w:rPr>
      </w:pPr>
      <w:r>
        <w:rPr>
          <w:rFonts w:hint="eastAsia" w:ascii="宋体" w:hAnsi="宋体" w:cs="宋体"/>
          <w:sz w:val="24"/>
        </w:rPr>
        <w:t>公司对外投资的决策机构为股东会、董事会及</w:t>
      </w:r>
      <w:r>
        <w:rPr>
          <w:rFonts w:hint="eastAsia" w:ascii="宋体" w:hAnsi="宋体" w:cs="宋体"/>
          <w:sz w:val="24"/>
          <w:lang w:val="en-US" w:eastAsia="zh-CN"/>
        </w:rPr>
        <w:t>董事长</w:t>
      </w:r>
      <w:r>
        <w:rPr>
          <w:rFonts w:hint="eastAsia" w:ascii="宋体" w:hAnsi="宋体" w:cs="宋体"/>
          <w:sz w:val="24"/>
        </w:rPr>
        <w:t>, 各自在其权限范围内, 依法对公司的对外投资作出决策。</w:t>
      </w:r>
    </w:p>
    <w:p w14:paraId="311C4DB0">
      <w:pPr>
        <w:spacing w:line="298" w:lineRule="auto"/>
        <w:rPr>
          <w:rFonts w:ascii="宋体" w:hAnsi="宋体" w:cs="宋体"/>
          <w:b/>
          <w:sz w:val="24"/>
        </w:rPr>
      </w:pPr>
    </w:p>
    <w:p w14:paraId="24A6290D">
      <w:pPr>
        <w:numPr>
          <w:ilvl w:val="1"/>
          <w:numId w:val="2"/>
        </w:numPr>
        <w:tabs>
          <w:tab w:val="left" w:pos="1440"/>
          <w:tab w:val="left" w:pos="1980"/>
          <w:tab w:val="clear" w:pos="816"/>
        </w:tabs>
        <w:spacing w:line="298" w:lineRule="auto"/>
        <w:ind w:left="1440" w:hanging="1440"/>
        <w:rPr>
          <w:rFonts w:ascii="宋体" w:hAnsi="宋体" w:cs="宋体"/>
          <w:sz w:val="24"/>
        </w:rPr>
      </w:pPr>
      <w:r>
        <w:rPr>
          <w:rFonts w:hint="eastAsia" w:ascii="宋体" w:hAnsi="宋体" w:cs="宋体"/>
          <w:sz w:val="24"/>
        </w:rPr>
        <w:t xml:space="preserve">公司对外投资的金额达到下列标准之一的, 应当提交董事会审议: </w:t>
      </w:r>
    </w:p>
    <w:p w14:paraId="5765C84A">
      <w:pPr>
        <w:tabs>
          <w:tab w:val="left" w:pos="1980"/>
        </w:tabs>
        <w:spacing w:line="298" w:lineRule="auto"/>
        <w:rPr>
          <w:rFonts w:ascii="宋体" w:hAnsi="宋体" w:cs="宋体"/>
          <w:sz w:val="24"/>
        </w:rPr>
      </w:pPr>
    </w:p>
    <w:p w14:paraId="002D608D">
      <w:pPr>
        <w:numPr>
          <w:ilvl w:val="4"/>
          <w:numId w:val="3"/>
        </w:numPr>
        <w:tabs>
          <w:tab w:val="left" w:pos="1800"/>
          <w:tab w:val="left" w:pos="2268"/>
          <w:tab w:val="left" w:pos="3150"/>
          <w:tab w:val="left" w:pos="3780"/>
          <w:tab w:val="clear" w:pos="2100"/>
        </w:tabs>
        <w:spacing w:line="298" w:lineRule="auto"/>
        <w:ind w:left="2268" w:hanging="828"/>
        <w:rPr>
          <w:rFonts w:ascii="宋体" w:hAnsi="宋体" w:cs="宋体"/>
          <w:sz w:val="24"/>
        </w:rPr>
      </w:pPr>
      <w:r>
        <w:rPr>
          <w:rFonts w:hint="eastAsia" w:ascii="宋体" w:hAnsi="宋体" w:cs="宋体"/>
          <w:sz w:val="24"/>
        </w:rPr>
        <w:t>交易涉及的资产总额占公司最近一期经审计总资产的10%以上, 该交易涉及的资产总额同时存在账面值和评估值的, 以较高者作为计算数据;</w:t>
      </w:r>
    </w:p>
    <w:p w14:paraId="0919D082">
      <w:pPr>
        <w:numPr>
          <w:ilvl w:val="4"/>
          <w:numId w:val="3"/>
        </w:numPr>
        <w:tabs>
          <w:tab w:val="left" w:pos="1800"/>
          <w:tab w:val="left" w:pos="2268"/>
          <w:tab w:val="left" w:pos="3150"/>
          <w:tab w:val="left" w:pos="3780"/>
          <w:tab w:val="clear" w:pos="2100"/>
        </w:tabs>
        <w:spacing w:line="298" w:lineRule="auto"/>
        <w:ind w:left="2268" w:hanging="828"/>
        <w:rPr>
          <w:rFonts w:ascii="宋体" w:hAnsi="宋体" w:cs="宋体"/>
          <w:sz w:val="24"/>
        </w:rPr>
      </w:pPr>
      <w:r>
        <w:rPr>
          <w:rFonts w:hint="eastAsia" w:ascii="宋体" w:hAnsi="宋体" w:cs="宋体"/>
          <w:sz w:val="24"/>
        </w:rPr>
        <w:t>交易标的(如股权)涉及的资产净额占公司最近一期经审计净资产的10%以上, 且绝对金额超过1000万元, 该交易涉及的资产净额同时存在账面值和评估值的, 以较高者为准;</w:t>
      </w:r>
    </w:p>
    <w:p w14:paraId="1A7E69B0">
      <w:pPr>
        <w:numPr>
          <w:ilvl w:val="4"/>
          <w:numId w:val="3"/>
        </w:numPr>
        <w:tabs>
          <w:tab w:val="left" w:pos="1800"/>
          <w:tab w:val="left" w:pos="2268"/>
          <w:tab w:val="left" w:pos="3150"/>
          <w:tab w:val="left" w:pos="3780"/>
          <w:tab w:val="clear" w:pos="2100"/>
        </w:tabs>
        <w:spacing w:line="298" w:lineRule="auto"/>
        <w:ind w:left="2268" w:hanging="828"/>
        <w:rPr>
          <w:rFonts w:ascii="宋体" w:hAnsi="宋体" w:cs="宋体"/>
          <w:sz w:val="24"/>
        </w:rPr>
      </w:pPr>
      <w:r>
        <w:rPr>
          <w:rFonts w:hint="eastAsia" w:ascii="宋体" w:hAnsi="宋体" w:cs="宋体"/>
          <w:sz w:val="24"/>
        </w:rPr>
        <w:t>交易标的(如股权)在最近一个会计年度相关的营业收入占公司最近一个会计年度经审计营业收入的10%以上, 且绝对金额超过1000万元人民币;</w:t>
      </w:r>
    </w:p>
    <w:p w14:paraId="2984EFD6">
      <w:pPr>
        <w:numPr>
          <w:ilvl w:val="4"/>
          <w:numId w:val="3"/>
        </w:numPr>
        <w:tabs>
          <w:tab w:val="left" w:pos="1800"/>
          <w:tab w:val="left" w:pos="2268"/>
          <w:tab w:val="left" w:pos="3150"/>
          <w:tab w:val="left" w:pos="3780"/>
          <w:tab w:val="clear" w:pos="2100"/>
        </w:tabs>
        <w:spacing w:line="298" w:lineRule="auto"/>
        <w:ind w:left="2268" w:hanging="828"/>
        <w:rPr>
          <w:rFonts w:ascii="宋体" w:hAnsi="宋体" w:cs="宋体"/>
          <w:sz w:val="24"/>
        </w:rPr>
      </w:pPr>
      <w:r>
        <w:rPr>
          <w:rFonts w:hint="eastAsia" w:ascii="宋体" w:hAnsi="宋体" w:cs="宋体"/>
          <w:sz w:val="24"/>
        </w:rPr>
        <w:t>交易标的(如股权)在最近一个会计年度相关的净利润占公司最近一个会计年度经审计净利润的10%以上, 且绝对金额超过100万元人民币;</w:t>
      </w:r>
    </w:p>
    <w:p w14:paraId="71E7AF81">
      <w:pPr>
        <w:numPr>
          <w:ilvl w:val="4"/>
          <w:numId w:val="3"/>
        </w:numPr>
        <w:tabs>
          <w:tab w:val="left" w:pos="1800"/>
          <w:tab w:val="left" w:pos="2268"/>
          <w:tab w:val="left" w:pos="3150"/>
          <w:tab w:val="left" w:pos="3780"/>
          <w:tab w:val="clear" w:pos="2100"/>
        </w:tabs>
        <w:spacing w:line="298" w:lineRule="auto"/>
        <w:ind w:left="2268" w:hanging="828"/>
        <w:rPr>
          <w:rFonts w:ascii="宋体" w:hAnsi="宋体" w:cs="宋体"/>
          <w:sz w:val="24"/>
        </w:rPr>
      </w:pPr>
      <w:r>
        <w:rPr>
          <w:rFonts w:hint="eastAsia" w:ascii="宋体" w:hAnsi="宋体" w:cs="宋体"/>
          <w:sz w:val="24"/>
        </w:rPr>
        <w:t>交易的成交金额(含承担债务和费用)占公司最近一期经审计净资产的10%以上, 且绝对金额超过1000万元人民币;</w:t>
      </w:r>
    </w:p>
    <w:p w14:paraId="4C62C855">
      <w:pPr>
        <w:numPr>
          <w:ilvl w:val="4"/>
          <w:numId w:val="3"/>
        </w:numPr>
        <w:tabs>
          <w:tab w:val="left" w:pos="1800"/>
          <w:tab w:val="left" w:pos="2268"/>
          <w:tab w:val="left" w:pos="3150"/>
          <w:tab w:val="left" w:pos="3780"/>
          <w:tab w:val="clear" w:pos="2100"/>
        </w:tabs>
        <w:spacing w:line="298" w:lineRule="auto"/>
        <w:ind w:left="2268" w:hanging="828"/>
        <w:rPr>
          <w:rFonts w:ascii="宋体" w:hAnsi="宋体" w:cs="宋体"/>
          <w:sz w:val="24"/>
        </w:rPr>
      </w:pPr>
      <w:r>
        <w:rPr>
          <w:rFonts w:hint="eastAsia" w:ascii="宋体" w:hAnsi="宋体" w:cs="宋体"/>
          <w:sz w:val="24"/>
        </w:rPr>
        <w:t>交易产生的利润占公司最近一个会计年度经审计净利润的10%以上, 且绝对金额超过100万元人民币。</w:t>
      </w:r>
    </w:p>
    <w:p w14:paraId="611A550D">
      <w:pPr>
        <w:spacing w:line="298" w:lineRule="auto"/>
        <w:ind w:firstLine="1440" w:firstLineChars="600"/>
        <w:rPr>
          <w:rFonts w:ascii="宋体" w:hAnsi="宋体" w:cs="宋体"/>
          <w:sz w:val="24"/>
        </w:rPr>
      </w:pPr>
    </w:p>
    <w:p w14:paraId="370E6EA1">
      <w:pPr>
        <w:spacing w:line="298" w:lineRule="auto"/>
        <w:ind w:firstLine="1440" w:firstLineChars="600"/>
        <w:rPr>
          <w:rFonts w:ascii="宋体" w:hAnsi="宋体" w:cs="宋体"/>
          <w:color w:val="000000"/>
          <w:sz w:val="24"/>
        </w:rPr>
      </w:pPr>
      <w:r>
        <w:rPr>
          <w:rFonts w:hint="eastAsia" w:ascii="宋体" w:hAnsi="宋体" w:cs="宋体"/>
          <w:color w:val="000000"/>
          <w:sz w:val="24"/>
        </w:rPr>
        <w:t>上述</w:t>
      </w:r>
      <w:r>
        <w:rPr>
          <w:rFonts w:hint="eastAsia" w:ascii="宋体" w:hAnsi="宋体" w:cs="宋体"/>
          <w:sz w:val="24"/>
        </w:rPr>
        <w:t>指标</w:t>
      </w:r>
      <w:r>
        <w:rPr>
          <w:rFonts w:hint="eastAsia" w:ascii="宋体" w:hAnsi="宋体" w:cs="宋体"/>
          <w:color w:val="000000"/>
          <w:sz w:val="24"/>
        </w:rPr>
        <w:t>计算中涉及的数据如为负值, 取其绝对值计算。</w:t>
      </w:r>
    </w:p>
    <w:p w14:paraId="66442964">
      <w:pPr>
        <w:spacing w:line="298" w:lineRule="auto"/>
        <w:ind w:firstLine="1440" w:firstLineChars="600"/>
        <w:rPr>
          <w:rFonts w:ascii="宋体" w:hAnsi="宋体" w:cs="宋体"/>
          <w:sz w:val="24"/>
        </w:rPr>
      </w:pPr>
    </w:p>
    <w:p w14:paraId="1F49F621">
      <w:pPr>
        <w:spacing w:line="298" w:lineRule="auto"/>
        <w:ind w:firstLine="1440" w:firstLineChars="600"/>
        <w:rPr>
          <w:rFonts w:ascii="宋体" w:hAnsi="宋体" w:cs="宋体"/>
          <w:sz w:val="24"/>
        </w:rPr>
      </w:pPr>
      <w:r>
        <w:rPr>
          <w:rFonts w:hint="eastAsia" w:ascii="宋体" w:hAnsi="宋体" w:cs="宋体"/>
          <w:sz w:val="24"/>
        </w:rPr>
        <w:t>以上金额以下的对外投资, 由公司</w:t>
      </w:r>
      <w:r>
        <w:rPr>
          <w:rFonts w:hint="eastAsia" w:ascii="宋体" w:hAnsi="宋体" w:cs="宋体"/>
          <w:sz w:val="24"/>
          <w:lang w:val="en-US" w:eastAsia="zh-CN"/>
        </w:rPr>
        <w:t>董事长</w:t>
      </w:r>
      <w:r>
        <w:rPr>
          <w:rFonts w:hint="eastAsia" w:ascii="宋体" w:hAnsi="宋体" w:cs="宋体"/>
          <w:sz w:val="24"/>
        </w:rPr>
        <w:t>决定。</w:t>
      </w:r>
    </w:p>
    <w:p w14:paraId="086F0A8D">
      <w:pPr>
        <w:spacing w:line="298" w:lineRule="auto"/>
        <w:ind w:firstLine="1440" w:firstLineChars="600"/>
        <w:rPr>
          <w:rFonts w:ascii="宋体" w:hAnsi="宋体" w:cs="宋体"/>
          <w:sz w:val="24"/>
        </w:rPr>
      </w:pPr>
    </w:p>
    <w:p w14:paraId="289D3E5E">
      <w:pPr>
        <w:numPr>
          <w:ilvl w:val="1"/>
          <w:numId w:val="2"/>
        </w:numPr>
        <w:tabs>
          <w:tab w:val="left" w:pos="1440"/>
          <w:tab w:val="left" w:pos="1980"/>
          <w:tab w:val="clear" w:pos="816"/>
        </w:tabs>
        <w:spacing w:line="298" w:lineRule="auto"/>
        <w:ind w:left="1440" w:hanging="1440"/>
        <w:rPr>
          <w:rFonts w:ascii="宋体" w:hAnsi="宋体" w:cs="宋体"/>
          <w:i/>
          <w:iCs/>
          <w:color w:val="000000"/>
          <w:sz w:val="24"/>
        </w:rPr>
      </w:pPr>
      <w:r>
        <w:rPr>
          <w:rFonts w:hint="eastAsia" w:ascii="宋体" w:hAnsi="宋体" w:cs="宋体"/>
          <w:sz w:val="24"/>
        </w:rPr>
        <w:t>公司对外投资的金额</w:t>
      </w:r>
      <w:r>
        <w:rPr>
          <w:rFonts w:hint="eastAsia" w:ascii="宋体" w:hAnsi="宋体" w:cs="宋体"/>
          <w:color w:val="000000"/>
          <w:sz w:val="24"/>
        </w:rPr>
        <w:t>达到下列</w:t>
      </w:r>
      <w:r>
        <w:rPr>
          <w:rFonts w:hint="eastAsia" w:ascii="宋体" w:hAnsi="宋体" w:cs="宋体"/>
          <w:sz w:val="24"/>
        </w:rPr>
        <w:t>标准</w:t>
      </w:r>
      <w:r>
        <w:rPr>
          <w:rFonts w:hint="eastAsia" w:ascii="宋体" w:hAnsi="宋体" w:cs="宋体"/>
          <w:color w:val="000000"/>
          <w:sz w:val="24"/>
        </w:rPr>
        <w:t>之一的</w:t>
      </w:r>
      <w:r>
        <w:rPr>
          <w:rFonts w:hint="eastAsia" w:ascii="宋体" w:hAnsi="宋体" w:cs="宋体"/>
          <w:sz w:val="24"/>
        </w:rPr>
        <w:t>, 须经股东会审议通过</w:t>
      </w:r>
      <w:r>
        <w:rPr>
          <w:rFonts w:hint="eastAsia" w:ascii="宋体" w:hAnsi="宋体" w:cs="宋体"/>
          <w:color w:val="000000"/>
          <w:sz w:val="24"/>
        </w:rPr>
        <w:t xml:space="preserve">: </w:t>
      </w:r>
    </w:p>
    <w:p w14:paraId="3D4AA50D">
      <w:pPr>
        <w:numPr>
          <w:ilvl w:val="0"/>
          <w:numId w:val="4"/>
        </w:numPr>
        <w:tabs>
          <w:tab w:val="left" w:pos="2268"/>
        </w:tabs>
        <w:spacing w:line="298" w:lineRule="auto"/>
        <w:ind w:left="2268" w:hanging="827"/>
        <w:rPr>
          <w:rFonts w:ascii="宋体" w:hAnsi="宋体" w:cs="宋体"/>
          <w:sz w:val="24"/>
        </w:rPr>
      </w:pPr>
      <w:r>
        <w:rPr>
          <w:rFonts w:hint="eastAsia" w:ascii="宋体" w:hAnsi="宋体" w:cs="宋体"/>
          <w:sz w:val="24"/>
        </w:rPr>
        <w:t xml:space="preserve">交易涉及的资产总额占公司最近一期经审计总资产的50%以上, 该交易涉及的资产总额同时存在账面值和评估值的, 以较高者作为计算数据; </w:t>
      </w:r>
    </w:p>
    <w:p w14:paraId="7BD15789">
      <w:pPr>
        <w:numPr>
          <w:ilvl w:val="0"/>
          <w:numId w:val="4"/>
        </w:numPr>
        <w:tabs>
          <w:tab w:val="left" w:pos="2268"/>
        </w:tabs>
        <w:spacing w:line="298" w:lineRule="auto"/>
        <w:ind w:left="2268" w:hanging="827"/>
        <w:rPr>
          <w:rFonts w:ascii="宋体" w:hAnsi="宋体" w:cs="宋体"/>
          <w:sz w:val="24"/>
        </w:rPr>
      </w:pPr>
      <w:r>
        <w:rPr>
          <w:rFonts w:hint="eastAsia" w:ascii="宋体" w:hAnsi="宋体" w:cs="宋体"/>
          <w:sz w:val="24"/>
        </w:rPr>
        <w:t>交易标的(如股权)涉及的资产净额占公司最近一期经审计净资产的50%以上, 且绝对金额超过5000万元, 该交易涉及的资产净额同时存在账面值和评估值的, 以较高者为准;</w:t>
      </w:r>
    </w:p>
    <w:p w14:paraId="1A5FA346">
      <w:pPr>
        <w:numPr>
          <w:ilvl w:val="0"/>
          <w:numId w:val="4"/>
        </w:numPr>
        <w:tabs>
          <w:tab w:val="left" w:pos="2268"/>
        </w:tabs>
        <w:spacing w:line="298" w:lineRule="auto"/>
        <w:ind w:left="2268" w:hanging="827"/>
        <w:rPr>
          <w:rFonts w:ascii="宋体" w:hAnsi="宋体" w:cs="宋体"/>
          <w:sz w:val="24"/>
        </w:rPr>
      </w:pPr>
      <w:r>
        <w:rPr>
          <w:rFonts w:hint="eastAsia" w:ascii="宋体" w:hAnsi="宋体" w:cs="宋体"/>
          <w:sz w:val="24"/>
        </w:rPr>
        <w:t xml:space="preserve">交易标的(如股权)在最近一个会计年度相关的营业收入占公司最近一个会计年度经审计营业收入的50%以上, 且绝对金额超过5000万元人民币; </w:t>
      </w:r>
    </w:p>
    <w:p w14:paraId="6F23DA68">
      <w:pPr>
        <w:numPr>
          <w:ilvl w:val="0"/>
          <w:numId w:val="4"/>
        </w:numPr>
        <w:tabs>
          <w:tab w:val="left" w:pos="2268"/>
        </w:tabs>
        <w:spacing w:line="298" w:lineRule="auto"/>
        <w:ind w:left="2268" w:hanging="827"/>
        <w:rPr>
          <w:rFonts w:ascii="宋体" w:hAnsi="宋体" w:cs="宋体"/>
          <w:sz w:val="24"/>
        </w:rPr>
      </w:pPr>
      <w:r>
        <w:rPr>
          <w:rFonts w:hint="eastAsia" w:ascii="宋体" w:hAnsi="宋体" w:cs="宋体"/>
          <w:sz w:val="24"/>
        </w:rPr>
        <w:t xml:space="preserve">交易标的(如股权)在最近一个会计年度相关的净利润占公司最近一个会计年度经审计净利润的50%以上, 且绝对金额超过500万元人民币; </w:t>
      </w:r>
    </w:p>
    <w:p w14:paraId="651888AA">
      <w:pPr>
        <w:numPr>
          <w:ilvl w:val="0"/>
          <w:numId w:val="4"/>
        </w:numPr>
        <w:tabs>
          <w:tab w:val="left" w:pos="2268"/>
        </w:tabs>
        <w:spacing w:line="298" w:lineRule="auto"/>
        <w:ind w:left="2268" w:hanging="827"/>
        <w:rPr>
          <w:rFonts w:ascii="宋体" w:hAnsi="宋体" w:cs="宋体"/>
          <w:sz w:val="24"/>
        </w:rPr>
      </w:pPr>
      <w:r>
        <w:rPr>
          <w:rFonts w:hint="eastAsia" w:ascii="宋体" w:hAnsi="宋体" w:cs="宋体"/>
          <w:sz w:val="24"/>
        </w:rPr>
        <w:t xml:space="preserve">交易的成交金额(含承担债务和费用)占公司最近一期经审计净资产的50%以上, 且绝对金额超过5000万元人民币; </w:t>
      </w:r>
    </w:p>
    <w:p w14:paraId="43C6F2DE">
      <w:pPr>
        <w:numPr>
          <w:ilvl w:val="0"/>
          <w:numId w:val="4"/>
        </w:numPr>
        <w:tabs>
          <w:tab w:val="left" w:pos="2268"/>
        </w:tabs>
        <w:spacing w:line="298" w:lineRule="auto"/>
        <w:ind w:left="2268" w:hanging="827"/>
        <w:rPr>
          <w:rFonts w:ascii="宋体" w:hAnsi="宋体" w:cs="宋体"/>
          <w:sz w:val="24"/>
        </w:rPr>
      </w:pPr>
      <w:r>
        <w:rPr>
          <w:rFonts w:hint="eastAsia" w:ascii="宋体" w:hAnsi="宋体" w:cs="宋体"/>
          <w:sz w:val="24"/>
        </w:rPr>
        <w:t>交易产生的利润占公司最近一个会计年度经审计净利润的50%以上, 且绝对金额超过500万元人民币。</w:t>
      </w:r>
    </w:p>
    <w:p w14:paraId="77CFA9A7">
      <w:pPr>
        <w:tabs>
          <w:tab w:val="left" w:pos="2520"/>
          <w:tab w:val="left" w:pos="3150"/>
          <w:tab w:val="left" w:pos="3780"/>
        </w:tabs>
        <w:spacing w:line="298" w:lineRule="auto"/>
        <w:ind w:left="1905"/>
        <w:rPr>
          <w:rFonts w:ascii="宋体" w:hAnsi="宋体" w:cs="宋体"/>
          <w:color w:val="000000"/>
          <w:sz w:val="24"/>
        </w:rPr>
      </w:pPr>
    </w:p>
    <w:p w14:paraId="45EC0577">
      <w:pPr>
        <w:spacing w:line="298" w:lineRule="auto"/>
        <w:ind w:left="1440"/>
        <w:rPr>
          <w:rFonts w:ascii="宋体" w:hAnsi="宋体" w:cs="宋体"/>
          <w:color w:val="000000"/>
          <w:sz w:val="24"/>
        </w:rPr>
      </w:pPr>
      <w:r>
        <w:rPr>
          <w:rFonts w:hint="eastAsia" w:ascii="宋体" w:hAnsi="宋体" w:cs="宋体"/>
          <w:color w:val="000000"/>
          <w:sz w:val="24"/>
        </w:rPr>
        <w:t>交易标的为"购买或出售资产"时, 应以资产总额和成交金额中的较高者作为计算标准, 并按交易事项的类型在连续十二个月内累计计算, 经累计计算达到公司最近一期经审计总资产30%的事项, 应提交股东会审议, 并经出席会议的股东所持表决权的三分之二以上通过。</w:t>
      </w:r>
    </w:p>
    <w:p w14:paraId="29CDAB26">
      <w:pPr>
        <w:tabs>
          <w:tab w:val="left" w:pos="2268"/>
        </w:tabs>
        <w:spacing w:line="298" w:lineRule="auto"/>
        <w:ind w:left="2268"/>
        <w:rPr>
          <w:rFonts w:ascii="宋体" w:hAnsi="宋体" w:cs="宋体"/>
          <w:color w:val="000000"/>
          <w:sz w:val="24"/>
        </w:rPr>
      </w:pPr>
    </w:p>
    <w:p w14:paraId="5CDB23B3">
      <w:pPr>
        <w:spacing w:line="298" w:lineRule="auto"/>
        <w:ind w:left="1440"/>
        <w:rPr>
          <w:rFonts w:ascii="宋体" w:hAnsi="宋体" w:cs="宋体"/>
          <w:color w:val="000000"/>
          <w:sz w:val="24"/>
        </w:rPr>
      </w:pPr>
      <w:r>
        <w:rPr>
          <w:rFonts w:hint="eastAsia" w:ascii="宋体" w:hAnsi="宋体" w:cs="宋体"/>
          <w:color w:val="000000"/>
          <w:sz w:val="24"/>
        </w:rPr>
        <w:t>上述指标计算中涉及的数据如为负值, 取其绝对值计算。</w:t>
      </w:r>
    </w:p>
    <w:p w14:paraId="7AD5D211">
      <w:pPr>
        <w:spacing w:line="298" w:lineRule="auto"/>
        <w:ind w:firstLine="1440" w:firstLineChars="600"/>
        <w:rPr>
          <w:rFonts w:ascii="宋体" w:hAnsi="宋体" w:cs="宋体"/>
          <w:sz w:val="24"/>
        </w:rPr>
      </w:pPr>
    </w:p>
    <w:p w14:paraId="69339045">
      <w:pPr>
        <w:numPr>
          <w:ilvl w:val="1"/>
          <w:numId w:val="2"/>
        </w:numPr>
        <w:tabs>
          <w:tab w:val="left" w:pos="1440"/>
          <w:tab w:val="left" w:pos="1980"/>
          <w:tab w:val="clear" w:pos="816"/>
        </w:tabs>
        <w:spacing w:line="298" w:lineRule="auto"/>
        <w:ind w:left="1440" w:hanging="1440"/>
        <w:rPr>
          <w:rFonts w:ascii="宋体" w:hAnsi="宋体" w:cs="宋体"/>
          <w:sz w:val="24"/>
        </w:rPr>
      </w:pPr>
      <w:r>
        <w:rPr>
          <w:rFonts w:hint="eastAsia" w:ascii="宋体" w:hAnsi="宋体" w:cs="宋体"/>
          <w:sz w:val="24"/>
        </w:rPr>
        <w:t xml:space="preserve">对外投资项目的投资建议, 由公司的股东、董事、高级管理人员和相关职能部门书面提出。 </w:t>
      </w:r>
    </w:p>
    <w:p w14:paraId="1379B010">
      <w:pPr>
        <w:tabs>
          <w:tab w:val="left" w:pos="1440"/>
        </w:tabs>
        <w:spacing w:line="298" w:lineRule="auto"/>
        <w:ind w:left="1440" w:hanging="1440" w:hangingChars="600"/>
        <w:rPr>
          <w:rFonts w:ascii="宋体" w:hAnsi="宋体" w:cs="宋体"/>
          <w:sz w:val="24"/>
        </w:rPr>
      </w:pPr>
    </w:p>
    <w:p w14:paraId="4E3B9DAC">
      <w:pPr>
        <w:numPr>
          <w:ilvl w:val="0"/>
          <w:numId w:val="1"/>
        </w:numPr>
        <w:tabs>
          <w:tab w:val="left" w:pos="1080"/>
          <w:tab w:val="clear" w:pos="4260"/>
        </w:tabs>
        <w:spacing w:line="298" w:lineRule="auto"/>
        <w:ind w:left="0" w:firstLine="0"/>
        <w:jc w:val="center"/>
        <w:rPr>
          <w:rFonts w:ascii="宋体" w:hAnsi="宋体" w:cs="宋体"/>
          <w:b/>
          <w:sz w:val="24"/>
        </w:rPr>
      </w:pPr>
      <w:r>
        <w:rPr>
          <w:rFonts w:hint="eastAsia" w:ascii="宋体" w:hAnsi="宋体" w:cs="宋体"/>
          <w:b/>
          <w:sz w:val="24"/>
        </w:rPr>
        <w:t>检查和监督</w:t>
      </w:r>
    </w:p>
    <w:p w14:paraId="2A301960">
      <w:pPr>
        <w:tabs>
          <w:tab w:val="left" w:pos="1980"/>
        </w:tabs>
        <w:spacing w:line="298" w:lineRule="auto"/>
        <w:rPr>
          <w:rFonts w:ascii="宋体" w:hAnsi="宋体" w:cs="宋体"/>
          <w:sz w:val="24"/>
        </w:rPr>
      </w:pPr>
    </w:p>
    <w:p w14:paraId="123C7813">
      <w:pPr>
        <w:numPr>
          <w:ilvl w:val="1"/>
          <w:numId w:val="2"/>
        </w:numPr>
        <w:tabs>
          <w:tab w:val="left" w:pos="1440"/>
          <w:tab w:val="left" w:pos="1980"/>
          <w:tab w:val="clear" w:pos="816"/>
        </w:tabs>
        <w:spacing w:line="298" w:lineRule="auto"/>
        <w:ind w:left="1440" w:hanging="1440"/>
        <w:rPr>
          <w:rFonts w:ascii="宋体" w:hAnsi="宋体" w:cs="宋体"/>
          <w:sz w:val="24"/>
        </w:rPr>
      </w:pPr>
      <w:r>
        <w:rPr>
          <w:rFonts w:hint="eastAsia" w:ascii="宋体" w:hAnsi="宋体" w:cs="宋体"/>
          <w:sz w:val="24"/>
        </w:rPr>
        <w:t>在前述投资项目通过后及实施过程中, 董事、高级管理人员和相关职能部门如发现该方案有重大疏漏、项目实施的外部环境发生重大变化或不可抗力之影响, 可能导致投资失败, 应提议召开董事会临时会议, 对投资方案进行修改、变更或终止。经过股东会批准的投资项目, 其投资方案的修改、变更或终止需召开股东会进行审议。</w:t>
      </w:r>
    </w:p>
    <w:p w14:paraId="503737C3">
      <w:pPr>
        <w:autoSpaceDE w:val="0"/>
        <w:autoSpaceDN w:val="0"/>
        <w:adjustRightInd w:val="0"/>
        <w:snapToGrid w:val="0"/>
        <w:spacing w:line="298" w:lineRule="auto"/>
        <w:rPr>
          <w:rFonts w:ascii="宋体" w:hAnsi="宋体" w:cs="宋体"/>
          <w:sz w:val="24"/>
        </w:rPr>
      </w:pPr>
    </w:p>
    <w:p w14:paraId="12A6AA40">
      <w:pPr>
        <w:numPr>
          <w:ilvl w:val="1"/>
          <w:numId w:val="2"/>
        </w:numPr>
        <w:tabs>
          <w:tab w:val="left" w:pos="1440"/>
          <w:tab w:val="left" w:pos="1980"/>
          <w:tab w:val="clear" w:pos="816"/>
        </w:tabs>
        <w:spacing w:line="298" w:lineRule="auto"/>
        <w:ind w:left="1440" w:hanging="1440"/>
        <w:rPr>
          <w:rFonts w:ascii="宋体" w:hAnsi="宋体" w:cs="宋体"/>
          <w:sz w:val="24"/>
        </w:rPr>
      </w:pPr>
      <w:r>
        <w:rPr>
          <w:rFonts w:hint="eastAsia" w:ascii="宋体" w:hAnsi="宋体" w:cs="宋体"/>
          <w:sz w:val="24"/>
        </w:rPr>
        <w:t>投资项目完成后, 公司应组织相关部门和人员进行检查, 根据实际情况向董事会、股东会报告。</w:t>
      </w:r>
    </w:p>
    <w:p w14:paraId="649E7A38">
      <w:pPr>
        <w:autoSpaceDE w:val="0"/>
        <w:autoSpaceDN w:val="0"/>
        <w:adjustRightInd w:val="0"/>
        <w:snapToGrid w:val="0"/>
        <w:spacing w:line="298" w:lineRule="auto"/>
        <w:jc w:val="left"/>
        <w:rPr>
          <w:rFonts w:ascii="宋体" w:hAnsi="宋体" w:cs="宋体"/>
          <w:sz w:val="24"/>
        </w:rPr>
      </w:pPr>
    </w:p>
    <w:p w14:paraId="73DBDC33">
      <w:pPr>
        <w:numPr>
          <w:ilvl w:val="1"/>
          <w:numId w:val="2"/>
        </w:numPr>
        <w:tabs>
          <w:tab w:val="left" w:pos="1440"/>
          <w:tab w:val="left" w:pos="1980"/>
          <w:tab w:val="clear" w:pos="816"/>
        </w:tabs>
        <w:spacing w:line="298" w:lineRule="auto"/>
        <w:ind w:left="1440" w:hanging="1440"/>
        <w:rPr>
          <w:rFonts w:ascii="宋体" w:hAnsi="宋体" w:cs="宋体"/>
          <w:sz w:val="24"/>
        </w:rPr>
      </w:pPr>
      <w:r>
        <w:rPr>
          <w:rFonts w:hint="eastAsia" w:ascii="宋体" w:hAnsi="宋体" w:cs="宋体"/>
          <w:sz w:val="24"/>
        </w:rPr>
        <w:t>独立董事有权对公司投资行为进行检查。</w:t>
      </w:r>
    </w:p>
    <w:p w14:paraId="4814584A">
      <w:pPr>
        <w:autoSpaceDE w:val="0"/>
        <w:autoSpaceDN w:val="0"/>
        <w:adjustRightInd w:val="0"/>
        <w:snapToGrid w:val="0"/>
        <w:spacing w:line="298" w:lineRule="auto"/>
        <w:jc w:val="left"/>
        <w:rPr>
          <w:rFonts w:ascii="宋体" w:hAnsi="宋体" w:cs="宋体"/>
          <w:sz w:val="24"/>
        </w:rPr>
      </w:pPr>
    </w:p>
    <w:p w14:paraId="58A4AA7A">
      <w:pPr>
        <w:numPr>
          <w:ilvl w:val="1"/>
          <w:numId w:val="2"/>
        </w:numPr>
        <w:tabs>
          <w:tab w:val="left" w:pos="1440"/>
          <w:tab w:val="left" w:pos="1980"/>
          <w:tab w:val="clear" w:pos="816"/>
        </w:tabs>
        <w:spacing w:line="298" w:lineRule="auto"/>
        <w:ind w:left="1440" w:hanging="1440"/>
        <w:rPr>
          <w:rFonts w:ascii="宋体" w:hAnsi="宋体" w:cs="宋体"/>
          <w:sz w:val="24"/>
        </w:rPr>
      </w:pPr>
      <w:r>
        <w:rPr>
          <w:rFonts w:hint="eastAsia" w:ascii="宋体" w:hAnsi="宋体" w:cs="宋体"/>
          <w:sz w:val="24"/>
        </w:rPr>
        <w:t>公司审计委员会有权对公司投资行为进行监督。</w:t>
      </w:r>
    </w:p>
    <w:p w14:paraId="18C89AF7">
      <w:pPr>
        <w:tabs>
          <w:tab w:val="left" w:pos="1080"/>
        </w:tabs>
        <w:autoSpaceDE w:val="0"/>
        <w:autoSpaceDN w:val="0"/>
        <w:adjustRightInd w:val="0"/>
        <w:snapToGrid w:val="0"/>
        <w:spacing w:line="298" w:lineRule="auto"/>
        <w:jc w:val="left"/>
        <w:rPr>
          <w:rFonts w:ascii="宋体" w:hAnsi="宋体" w:cs="宋体"/>
          <w:sz w:val="24"/>
        </w:rPr>
      </w:pPr>
    </w:p>
    <w:p w14:paraId="45F4BD8E">
      <w:pPr>
        <w:numPr>
          <w:ilvl w:val="0"/>
          <w:numId w:val="1"/>
        </w:numPr>
        <w:tabs>
          <w:tab w:val="left" w:pos="1080"/>
          <w:tab w:val="clear" w:pos="4260"/>
        </w:tabs>
        <w:spacing w:line="298" w:lineRule="auto"/>
        <w:ind w:left="0" w:firstLine="0"/>
        <w:jc w:val="center"/>
        <w:rPr>
          <w:rFonts w:ascii="宋体" w:hAnsi="宋体" w:cs="宋体"/>
          <w:b/>
          <w:sz w:val="24"/>
        </w:rPr>
      </w:pPr>
      <w:r>
        <w:rPr>
          <w:rFonts w:hint="eastAsia" w:ascii="宋体" w:hAnsi="宋体" w:cs="宋体"/>
          <w:b/>
          <w:sz w:val="24"/>
        </w:rPr>
        <w:t>附则</w:t>
      </w:r>
    </w:p>
    <w:p w14:paraId="1E997190">
      <w:pPr>
        <w:spacing w:line="298" w:lineRule="auto"/>
        <w:ind w:left="3435"/>
        <w:rPr>
          <w:rFonts w:ascii="宋体" w:hAnsi="宋体" w:cs="宋体"/>
          <w:sz w:val="24"/>
        </w:rPr>
      </w:pPr>
    </w:p>
    <w:p w14:paraId="20743AFA">
      <w:pPr>
        <w:numPr>
          <w:ilvl w:val="1"/>
          <w:numId w:val="2"/>
        </w:numPr>
        <w:tabs>
          <w:tab w:val="left" w:pos="1440"/>
          <w:tab w:val="left" w:pos="1980"/>
          <w:tab w:val="clear" w:pos="816"/>
        </w:tabs>
        <w:spacing w:line="298" w:lineRule="auto"/>
        <w:ind w:left="1440" w:hanging="1440"/>
        <w:rPr>
          <w:rFonts w:ascii="宋体" w:hAnsi="宋体" w:cs="宋体"/>
          <w:sz w:val="24"/>
        </w:rPr>
      </w:pPr>
      <w:r>
        <w:rPr>
          <w:rFonts w:hint="eastAsia" w:ascii="宋体" w:hAnsi="宋体" w:cs="宋体"/>
          <w:sz w:val="24"/>
        </w:rPr>
        <w:t xml:space="preserve">本制度所称“以上”含本数。 </w:t>
      </w:r>
    </w:p>
    <w:p w14:paraId="711EC893">
      <w:pPr>
        <w:tabs>
          <w:tab w:val="left" w:pos="1440"/>
          <w:tab w:val="left" w:pos="1980"/>
        </w:tabs>
        <w:spacing w:line="298" w:lineRule="auto"/>
        <w:rPr>
          <w:rFonts w:ascii="宋体" w:hAnsi="宋体" w:cs="宋体"/>
          <w:sz w:val="24"/>
        </w:rPr>
      </w:pPr>
    </w:p>
    <w:p w14:paraId="3DCD142A">
      <w:pPr>
        <w:numPr>
          <w:ilvl w:val="1"/>
          <w:numId w:val="2"/>
        </w:numPr>
        <w:tabs>
          <w:tab w:val="left" w:pos="1440"/>
          <w:tab w:val="left" w:pos="1980"/>
          <w:tab w:val="clear" w:pos="816"/>
        </w:tabs>
        <w:spacing w:line="298" w:lineRule="auto"/>
        <w:ind w:left="1440" w:hanging="1440"/>
        <w:rPr>
          <w:rFonts w:ascii="宋体" w:hAnsi="宋体" w:cs="宋体"/>
          <w:sz w:val="24"/>
        </w:rPr>
      </w:pPr>
      <w:r>
        <w:rPr>
          <w:rFonts w:hint="eastAsia" w:ascii="宋体" w:hAnsi="宋体" w:cs="宋体"/>
          <w:sz w:val="24"/>
        </w:rPr>
        <w:t xml:space="preserve">本制度经公司股东会批准后生效。 </w:t>
      </w:r>
    </w:p>
    <w:p w14:paraId="229C8487">
      <w:pPr>
        <w:tabs>
          <w:tab w:val="left" w:pos="1440"/>
          <w:tab w:val="left" w:pos="1980"/>
        </w:tabs>
        <w:spacing w:line="298" w:lineRule="auto"/>
        <w:rPr>
          <w:rFonts w:ascii="宋体" w:hAnsi="宋体" w:cs="宋体"/>
          <w:sz w:val="24"/>
        </w:rPr>
      </w:pPr>
    </w:p>
    <w:p w14:paraId="2808F887">
      <w:pPr>
        <w:numPr>
          <w:ilvl w:val="1"/>
          <w:numId w:val="2"/>
        </w:numPr>
        <w:tabs>
          <w:tab w:val="left" w:pos="1440"/>
          <w:tab w:val="left" w:pos="1980"/>
          <w:tab w:val="clear" w:pos="816"/>
        </w:tabs>
        <w:spacing w:line="298" w:lineRule="auto"/>
        <w:ind w:left="1440" w:hanging="1440"/>
        <w:rPr>
          <w:rFonts w:ascii="宋体" w:hAnsi="宋体" w:cs="宋体"/>
          <w:sz w:val="24"/>
        </w:rPr>
      </w:pPr>
      <w:r>
        <w:rPr>
          <w:rFonts w:hint="eastAsia" w:ascii="宋体" w:hAnsi="宋体" w:cs="宋体"/>
          <w:sz w:val="24"/>
        </w:rPr>
        <w:t>本制度未尽事宜, 按照有关法律、法规、规范性文件和公司章程的规定执行; 如本工作细则内容与法律、法规、规范性文件或公司章程相抵触时, 以法律、法规、规范性文件和公司章程的规定为准。</w:t>
      </w:r>
    </w:p>
    <w:p w14:paraId="766CB198">
      <w:pPr>
        <w:tabs>
          <w:tab w:val="left" w:pos="1980"/>
        </w:tabs>
        <w:spacing w:line="298" w:lineRule="auto"/>
        <w:rPr>
          <w:rFonts w:ascii="宋体" w:hAnsi="宋体" w:cs="宋体"/>
          <w:sz w:val="24"/>
        </w:rPr>
      </w:pPr>
    </w:p>
    <w:p w14:paraId="4ACA5B37">
      <w:pPr>
        <w:numPr>
          <w:ilvl w:val="1"/>
          <w:numId w:val="2"/>
        </w:numPr>
        <w:tabs>
          <w:tab w:val="left" w:pos="1440"/>
          <w:tab w:val="left" w:pos="1980"/>
          <w:tab w:val="clear" w:pos="816"/>
        </w:tabs>
        <w:spacing w:line="298" w:lineRule="auto"/>
        <w:ind w:left="1440" w:hanging="1440"/>
        <w:rPr>
          <w:rFonts w:ascii="宋体" w:hAnsi="宋体" w:cs="宋体"/>
          <w:sz w:val="24"/>
        </w:rPr>
      </w:pPr>
      <w:r>
        <w:rPr>
          <w:rFonts w:hint="eastAsia" w:ascii="宋体" w:hAnsi="宋体" w:cs="宋体"/>
          <w:sz w:val="24"/>
        </w:rPr>
        <w:t xml:space="preserve">本制度由公司董事会负责解释。 </w:t>
      </w:r>
    </w:p>
    <w:p w14:paraId="38A6A7B4">
      <w:pPr>
        <w:tabs>
          <w:tab w:val="left" w:pos="6120"/>
          <w:tab w:val="left" w:pos="8280"/>
        </w:tabs>
        <w:wordWrap w:val="0"/>
        <w:spacing w:line="360" w:lineRule="auto"/>
        <w:ind w:right="26" w:firstLine="4319" w:firstLineChars="1878"/>
        <w:jc w:val="right"/>
        <w:rPr>
          <w:rFonts w:ascii="宋体" w:hAnsi="宋体" w:cs="宋体"/>
          <w:sz w:val="23"/>
          <w:szCs w:val="23"/>
        </w:rPr>
      </w:pPr>
    </w:p>
    <w:sectPr>
      <w:headerReference r:id="rId3" w:type="default"/>
      <w:footerReference r:id="rId4" w:type="default"/>
      <w:pgSz w:w="11906" w:h="16838"/>
      <w:pgMar w:top="1985" w:right="1418" w:bottom="1701" w:left="1418"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D0591F">
    <w:pPr>
      <w:pStyle w:val="3"/>
      <w:jc w:val="center"/>
    </w:pPr>
    <w:r>
      <w:rPr>
        <w:rFonts w:hint="eastAsia"/>
        <w:kern w:val="0"/>
        <w:szCs w:val="21"/>
      </w:rPr>
      <w:t xml:space="preserve">第 </w:t>
    </w:r>
    <w:r>
      <w:rPr>
        <w:kern w:val="0"/>
        <w:szCs w:val="21"/>
      </w:rPr>
      <w:fldChar w:fldCharType="begin"/>
    </w:r>
    <w:r>
      <w:rPr>
        <w:kern w:val="0"/>
        <w:szCs w:val="21"/>
      </w:rPr>
      <w:instrText xml:space="preserve"> PAGE </w:instrText>
    </w:r>
    <w:r>
      <w:rPr>
        <w:kern w:val="0"/>
        <w:szCs w:val="21"/>
      </w:rPr>
      <w:fldChar w:fldCharType="separate"/>
    </w:r>
    <w:r>
      <w:rPr>
        <w:kern w:val="0"/>
        <w:szCs w:val="21"/>
      </w:rPr>
      <w:t>3</w:t>
    </w:r>
    <w:r>
      <w:rPr>
        <w:kern w:val="0"/>
        <w:szCs w:val="21"/>
      </w:rPr>
      <w:fldChar w:fldCharType="end"/>
    </w:r>
    <w:r>
      <w:rPr>
        <w:rFonts w:hint="eastAsia"/>
        <w:kern w:val="0"/>
        <w:szCs w:val="21"/>
      </w:rPr>
      <w:t xml:space="preserve"> 页 共 </w:t>
    </w:r>
    <w:r>
      <w:rPr>
        <w:kern w:val="0"/>
        <w:szCs w:val="21"/>
      </w:rPr>
      <w:fldChar w:fldCharType="begin"/>
    </w:r>
    <w:r>
      <w:rPr>
        <w:kern w:val="0"/>
        <w:szCs w:val="21"/>
      </w:rPr>
      <w:instrText xml:space="preserve"> NUMPAGES </w:instrText>
    </w:r>
    <w:r>
      <w:rPr>
        <w:kern w:val="0"/>
        <w:szCs w:val="21"/>
      </w:rPr>
      <w:fldChar w:fldCharType="separate"/>
    </w:r>
    <w:r>
      <w:rPr>
        <w:kern w:val="0"/>
        <w:szCs w:val="21"/>
      </w:rPr>
      <w:t>4</w:t>
    </w:r>
    <w:r>
      <w:rPr>
        <w:kern w:val="0"/>
        <w:szCs w:val="21"/>
      </w:rPr>
      <w:fldChar w:fldCharType="end"/>
    </w:r>
    <w:r>
      <w:rPr>
        <w:rFonts w:hint="eastAsia"/>
        <w:kern w:val="0"/>
        <w:szCs w:val="21"/>
      </w:rPr>
      <w:t xml:space="preserve"> 页</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4E34FF">
    <w:pPr>
      <w:pStyle w:val="4"/>
      <w:jc w:val="both"/>
    </w:pPr>
    <w:r>
      <w:drawing>
        <wp:inline distT="0" distB="0" distL="114300" distR="114300">
          <wp:extent cx="382905" cy="407670"/>
          <wp:effectExtent l="0" t="0" r="10795" b="1143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
                  <a:stretch>
                    <a:fillRect/>
                  </a:stretch>
                </pic:blipFill>
                <pic:spPr>
                  <a:xfrm>
                    <a:off x="0" y="0"/>
                    <a:ext cx="382905" cy="407670"/>
                  </a:xfrm>
                  <a:prstGeom prst="rect">
                    <a:avLst/>
                  </a:prstGeom>
                  <a:noFill/>
                  <a:ln>
                    <a:noFill/>
                  </a:ln>
                </pic:spPr>
              </pic:pic>
            </a:graphicData>
          </a:graphic>
        </wp:inline>
      </w:drawing>
    </w:r>
    <w:r>
      <w:rPr>
        <w:rFonts w:hint="eastAsia"/>
      </w:rPr>
      <w:t xml:space="preserve">                     永兴特种材料科技股份有限公司对外投资管理制度</w:t>
    </w:r>
  </w:p>
  <w:p w14:paraId="5049B408">
    <w:pPr>
      <w:pStyle w:val="4"/>
      <w:pBdr>
        <w:bottom w:val="none" w:color="auto" w:sz="0" w:space="0"/>
      </w:pBdr>
      <w:jc w:val="both"/>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B997F27"/>
    <w:multiLevelType w:val="multilevel"/>
    <w:tmpl w:val="1B997F27"/>
    <w:lvl w:ilvl="0" w:tentative="0">
      <w:start w:val="1"/>
      <w:numFmt w:val="chineseCountingThousand"/>
      <w:lvlText w:val="(%1)"/>
      <w:lvlJc w:val="left"/>
      <w:pPr>
        <w:tabs>
          <w:tab w:val="left" w:pos="2940"/>
        </w:tabs>
        <w:ind w:left="294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chineseCountingThousand"/>
      <w:lvlText w:val="(%5)"/>
      <w:lvlJc w:val="left"/>
      <w:pPr>
        <w:tabs>
          <w:tab w:val="left" w:pos="2100"/>
        </w:tabs>
        <w:ind w:left="2100" w:hanging="420"/>
      </w:pPr>
      <w:rPr>
        <w:rFonts w:hint="eastAsia"/>
      </w:r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
    <w:nsid w:val="29CB0E96"/>
    <w:multiLevelType w:val="multilevel"/>
    <w:tmpl w:val="29CB0E96"/>
    <w:lvl w:ilvl="0" w:tentative="0">
      <w:start w:val="1"/>
      <w:numFmt w:val="chineseCountingThousand"/>
      <w:lvlText w:val="第%1条"/>
      <w:lvlJc w:val="left"/>
      <w:pPr>
        <w:tabs>
          <w:tab w:val="left" w:pos="816"/>
        </w:tabs>
        <w:ind w:left="816" w:hanging="396"/>
      </w:pPr>
      <w:rPr>
        <w:rFonts w:hint="default" w:ascii="Arial" w:hAnsi="Arial" w:eastAsia="宋体"/>
        <w:b w:val="0"/>
        <w:i w:val="0"/>
        <w:sz w:val="23"/>
        <w:szCs w:val="23"/>
      </w:rPr>
    </w:lvl>
    <w:lvl w:ilvl="1" w:tentative="0">
      <w:start w:val="1"/>
      <w:numFmt w:val="chineseCountingThousand"/>
      <w:lvlText w:val="第%2条"/>
      <w:lvlJc w:val="left"/>
      <w:pPr>
        <w:tabs>
          <w:tab w:val="left" w:pos="816"/>
        </w:tabs>
        <w:ind w:left="816" w:hanging="396"/>
      </w:pPr>
      <w:rPr>
        <w:rFonts w:hint="default" w:ascii="Arial" w:hAnsi="Arial" w:eastAsia="宋体"/>
        <w:b w:val="0"/>
        <w:i w:val="0"/>
        <w:sz w:val="23"/>
        <w:szCs w:val="23"/>
      </w:rPr>
    </w:lvl>
    <w:lvl w:ilvl="2" w:tentative="0">
      <w:start w:val="1"/>
      <w:numFmt w:val="chineseCountingThousand"/>
      <w:lvlText w:val="(%3)"/>
      <w:lvlJc w:val="left"/>
      <w:pPr>
        <w:tabs>
          <w:tab w:val="left" w:pos="1200"/>
        </w:tabs>
        <w:ind w:left="1200" w:hanging="360"/>
      </w:pPr>
      <w:rPr>
        <w:rFonts w:hint="default" w:ascii="Arial" w:hAnsi="Arial" w:eastAsia="宋体"/>
        <w:b w:val="0"/>
        <w:i w:val="0"/>
        <w:sz w:val="23"/>
        <w:szCs w:val="23"/>
      </w:rPr>
    </w:lvl>
    <w:lvl w:ilvl="3" w:tentative="0">
      <w:start w:val="1"/>
      <w:numFmt w:val="japaneseCounting"/>
      <w:lvlText w:val="（%4）"/>
      <w:lvlJc w:val="left"/>
      <w:pPr>
        <w:tabs>
          <w:tab w:val="left" w:pos="1980"/>
        </w:tabs>
        <w:ind w:left="1980" w:hanging="720"/>
      </w:pPr>
      <w:rPr>
        <w:rFonts w:hint="default"/>
      </w:rPr>
    </w:lvl>
    <w:lvl w:ilvl="4" w:tentative="0">
      <w:start w:val="1"/>
      <w:numFmt w:val="japaneseCounting"/>
      <w:lvlText w:val="(%5)"/>
      <w:lvlJc w:val="left"/>
      <w:pPr>
        <w:ind w:left="2040" w:hanging="360"/>
      </w:pPr>
      <w:rPr>
        <w:rFonts w:hint="default"/>
      </w:r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
    <w:nsid w:val="44070076"/>
    <w:multiLevelType w:val="multilevel"/>
    <w:tmpl w:val="44070076"/>
    <w:lvl w:ilvl="0" w:tentative="0">
      <w:start w:val="1"/>
      <w:numFmt w:val="japaneseCounting"/>
      <w:lvlText w:val="第%1章"/>
      <w:lvlJc w:val="left"/>
      <w:pPr>
        <w:tabs>
          <w:tab w:val="left" w:pos="4260"/>
        </w:tabs>
        <w:ind w:left="4260" w:hanging="825"/>
      </w:pPr>
      <w:rPr>
        <w:rFonts w:hint="eastAsia" w:ascii="宋体" w:hAnsi="宋体" w:eastAsia="宋体" w:cs="宋体"/>
        <w:b/>
      </w:rPr>
    </w:lvl>
    <w:lvl w:ilvl="1" w:tentative="0">
      <w:start w:val="1"/>
      <w:numFmt w:val="japaneseCounting"/>
      <w:lvlText w:val="第%2条"/>
      <w:lvlJc w:val="left"/>
      <w:pPr>
        <w:tabs>
          <w:tab w:val="left" w:pos="4575"/>
        </w:tabs>
        <w:ind w:left="4575" w:hanging="720"/>
      </w:pPr>
      <w:rPr>
        <w:rFonts w:hint="default"/>
      </w:rPr>
    </w:lvl>
    <w:lvl w:ilvl="2" w:tentative="0">
      <w:start w:val="1"/>
      <w:numFmt w:val="lowerRoman"/>
      <w:lvlText w:val="%3."/>
      <w:lvlJc w:val="right"/>
      <w:pPr>
        <w:tabs>
          <w:tab w:val="left" w:pos="4695"/>
        </w:tabs>
        <w:ind w:left="4695" w:hanging="420"/>
      </w:pPr>
    </w:lvl>
    <w:lvl w:ilvl="3" w:tentative="0">
      <w:start w:val="1"/>
      <w:numFmt w:val="decimal"/>
      <w:lvlText w:val="%4."/>
      <w:lvlJc w:val="left"/>
      <w:pPr>
        <w:tabs>
          <w:tab w:val="left" w:pos="5115"/>
        </w:tabs>
        <w:ind w:left="5115" w:hanging="420"/>
      </w:pPr>
    </w:lvl>
    <w:lvl w:ilvl="4" w:tentative="0">
      <w:start w:val="1"/>
      <w:numFmt w:val="lowerLetter"/>
      <w:lvlText w:val="%5)"/>
      <w:lvlJc w:val="left"/>
      <w:pPr>
        <w:tabs>
          <w:tab w:val="left" w:pos="5535"/>
        </w:tabs>
        <w:ind w:left="5535" w:hanging="420"/>
      </w:pPr>
    </w:lvl>
    <w:lvl w:ilvl="5" w:tentative="0">
      <w:start w:val="1"/>
      <w:numFmt w:val="lowerRoman"/>
      <w:lvlText w:val="%6."/>
      <w:lvlJc w:val="right"/>
      <w:pPr>
        <w:tabs>
          <w:tab w:val="left" w:pos="5955"/>
        </w:tabs>
        <w:ind w:left="5955" w:hanging="420"/>
      </w:pPr>
    </w:lvl>
    <w:lvl w:ilvl="6" w:tentative="0">
      <w:start w:val="1"/>
      <w:numFmt w:val="decimal"/>
      <w:lvlText w:val="%7."/>
      <w:lvlJc w:val="left"/>
      <w:pPr>
        <w:tabs>
          <w:tab w:val="left" w:pos="6375"/>
        </w:tabs>
        <w:ind w:left="6375" w:hanging="420"/>
      </w:pPr>
    </w:lvl>
    <w:lvl w:ilvl="7" w:tentative="0">
      <w:start w:val="1"/>
      <w:numFmt w:val="lowerLetter"/>
      <w:lvlText w:val="%8)"/>
      <w:lvlJc w:val="left"/>
      <w:pPr>
        <w:tabs>
          <w:tab w:val="left" w:pos="6795"/>
        </w:tabs>
        <w:ind w:left="6795" w:hanging="420"/>
      </w:pPr>
    </w:lvl>
    <w:lvl w:ilvl="8" w:tentative="0">
      <w:start w:val="1"/>
      <w:numFmt w:val="lowerRoman"/>
      <w:lvlText w:val="%9."/>
      <w:lvlJc w:val="right"/>
      <w:pPr>
        <w:tabs>
          <w:tab w:val="left" w:pos="7215"/>
        </w:tabs>
        <w:ind w:left="7215" w:hanging="420"/>
      </w:pPr>
    </w:lvl>
  </w:abstractNum>
  <w:abstractNum w:abstractNumId="3">
    <w:nsid w:val="5C805375"/>
    <w:multiLevelType w:val="multilevel"/>
    <w:tmpl w:val="5C805375"/>
    <w:lvl w:ilvl="0" w:tentative="0">
      <w:start w:val="1"/>
      <w:numFmt w:val="chineseCountingThousand"/>
      <w:lvlText w:val="(%1)"/>
      <w:lvlJc w:val="left"/>
      <w:pPr>
        <w:ind w:left="1861" w:hanging="420"/>
      </w:pPr>
    </w:lvl>
    <w:lvl w:ilvl="1" w:tentative="0">
      <w:start w:val="1"/>
      <w:numFmt w:val="lowerLetter"/>
      <w:lvlText w:val="%2)"/>
      <w:lvlJc w:val="left"/>
      <w:pPr>
        <w:ind w:left="2281" w:hanging="420"/>
      </w:pPr>
    </w:lvl>
    <w:lvl w:ilvl="2" w:tentative="0">
      <w:start w:val="1"/>
      <w:numFmt w:val="lowerRoman"/>
      <w:lvlText w:val="%3."/>
      <w:lvlJc w:val="right"/>
      <w:pPr>
        <w:ind w:left="2701" w:hanging="420"/>
      </w:pPr>
    </w:lvl>
    <w:lvl w:ilvl="3" w:tentative="0">
      <w:start w:val="1"/>
      <w:numFmt w:val="decimal"/>
      <w:lvlText w:val="%4."/>
      <w:lvlJc w:val="left"/>
      <w:pPr>
        <w:ind w:left="3121" w:hanging="420"/>
      </w:pPr>
    </w:lvl>
    <w:lvl w:ilvl="4" w:tentative="0">
      <w:start w:val="1"/>
      <w:numFmt w:val="lowerLetter"/>
      <w:lvlText w:val="%5)"/>
      <w:lvlJc w:val="left"/>
      <w:pPr>
        <w:ind w:left="3541" w:hanging="420"/>
      </w:pPr>
    </w:lvl>
    <w:lvl w:ilvl="5" w:tentative="0">
      <w:start w:val="1"/>
      <w:numFmt w:val="lowerRoman"/>
      <w:lvlText w:val="%6."/>
      <w:lvlJc w:val="right"/>
      <w:pPr>
        <w:ind w:left="3961" w:hanging="420"/>
      </w:pPr>
    </w:lvl>
    <w:lvl w:ilvl="6" w:tentative="0">
      <w:start w:val="1"/>
      <w:numFmt w:val="decimal"/>
      <w:lvlText w:val="%7."/>
      <w:lvlJc w:val="left"/>
      <w:pPr>
        <w:ind w:left="4381" w:hanging="420"/>
      </w:pPr>
    </w:lvl>
    <w:lvl w:ilvl="7" w:tentative="0">
      <w:start w:val="1"/>
      <w:numFmt w:val="lowerLetter"/>
      <w:lvlText w:val="%8)"/>
      <w:lvlJc w:val="left"/>
      <w:pPr>
        <w:ind w:left="4801" w:hanging="420"/>
      </w:pPr>
    </w:lvl>
    <w:lvl w:ilvl="8" w:tentative="0">
      <w:start w:val="1"/>
      <w:numFmt w:val="lowerRoman"/>
      <w:lvlText w:val="%9."/>
      <w:lvlJc w:val="right"/>
      <w:pPr>
        <w:ind w:left="5221" w:hanging="420"/>
      </w:p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16F1"/>
    <w:rsid w:val="00000E84"/>
    <w:rsid w:val="0000138F"/>
    <w:rsid w:val="0000184D"/>
    <w:rsid w:val="0001227D"/>
    <w:rsid w:val="000222D2"/>
    <w:rsid w:val="0003167B"/>
    <w:rsid w:val="00032C35"/>
    <w:rsid w:val="00044712"/>
    <w:rsid w:val="00050444"/>
    <w:rsid w:val="00065774"/>
    <w:rsid w:val="00066EFB"/>
    <w:rsid w:val="0008424D"/>
    <w:rsid w:val="000B1287"/>
    <w:rsid w:val="000B4C33"/>
    <w:rsid w:val="000B4FA1"/>
    <w:rsid w:val="000B56C9"/>
    <w:rsid w:val="000C4609"/>
    <w:rsid w:val="000D1E2C"/>
    <w:rsid w:val="000E71C4"/>
    <w:rsid w:val="000F2E93"/>
    <w:rsid w:val="000F2FD5"/>
    <w:rsid w:val="00107AAC"/>
    <w:rsid w:val="0011763D"/>
    <w:rsid w:val="00133778"/>
    <w:rsid w:val="00135A34"/>
    <w:rsid w:val="00147737"/>
    <w:rsid w:val="00151D09"/>
    <w:rsid w:val="00154FD6"/>
    <w:rsid w:val="00177E76"/>
    <w:rsid w:val="001928BD"/>
    <w:rsid w:val="00192E70"/>
    <w:rsid w:val="001A036A"/>
    <w:rsid w:val="001A19F9"/>
    <w:rsid w:val="001B7E62"/>
    <w:rsid w:val="001C65D8"/>
    <w:rsid w:val="001D10A5"/>
    <w:rsid w:val="001D621F"/>
    <w:rsid w:val="001D6C3A"/>
    <w:rsid w:val="001F7875"/>
    <w:rsid w:val="0020064D"/>
    <w:rsid w:val="002049BD"/>
    <w:rsid w:val="00207CD0"/>
    <w:rsid w:val="0021098B"/>
    <w:rsid w:val="00214182"/>
    <w:rsid w:val="0021585F"/>
    <w:rsid w:val="002276DF"/>
    <w:rsid w:val="00232F62"/>
    <w:rsid w:val="00235C9C"/>
    <w:rsid w:val="0025524A"/>
    <w:rsid w:val="00275452"/>
    <w:rsid w:val="00280053"/>
    <w:rsid w:val="002A567F"/>
    <w:rsid w:val="002A6027"/>
    <w:rsid w:val="002B5182"/>
    <w:rsid w:val="002B6075"/>
    <w:rsid w:val="002C04DF"/>
    <w:rsid w:val="002D2FD6"/>
    <w:rsid w:val="002D463E"/>
    <w:rsid w:val="002F45B1"/>
    <w:rsid w:val="00306975"/>
    <w:rsid w:val="003142F3"/>
    <w:rsid w:val="00316227"/>
    <w:rsid w:val="00330108"/>
    <w:rsid w:val="003337CE"/>
    <w:rsid w:val="003453C6"/>
    <w:rsid w:val="00347CB6"/>
    <w:rsid w:val="00357EA7"/>
    <w:rsid w:val="00385F69"/>
    <w:rsid w:val="003A456A"/>
    <w:rsid w:val="003A6AD8"/>
    <w:rsid w:val="003B2E38"/>
    <w:rsid w:val="003C7559"/>
    <w:rsid w:val="003C7EE9"/>
    <w:rsid w:val="003D41F9"/>
    <w:rsid w:val="003F2BDB"/>
    <w:rsid w:val="00400F5B"/>
    <w:rsid w:val="004042ED"/>
    <w:rsid w:val="00406B90"/>
    <w:rsid w:val="0041099F"/>
    <w:rsid w:val="004220AB"/>
    <w:rsid w:val="004335D7"/>
    <w:rsid w:val="00435115"/>
    <w:rsid w:val="00441912"/>
    <w:rsid w:val="004503D0"/>
    <w:rsid w:val="00464694"/>
    <w:rsid w:val="00464BF5"/>
    <w:rsid w:val="00480C62"/>
    <w:rsid w:val="00483F82"/>
    <w:rsid w:val="0048545D"/>
    <w:rsid w:val="00493183"/>
    <w:rsid w:val="004B2582"/>
    <w:rsid w:val="004B2C1E"/>
    <w:rsid w:val="004C5D36"/>
    <w:rsid w:val="004C7FB1"/>
    <w:rsid w:val="004E12DE"/>
    <w:rsid w:val="004E1703"/>
    <w:rsid w:val="004F62F2"/>
    <w:rsid w:val="00510867"/>
    <w:rsid w:val="00510F5B"/>
    <w:rsid w:val="005148E6"/>
    <w:rsid w:val="00526264"/>
    <w:rsid w:val="00537850"/>
    <w:rsid w:val="00541947"/>
    <w:rsid w:val="00563486"/>
    <w:rsid w:val="005676D4"/>
    <w:rsid w:val="00567DFB"/>
    <w:rsid w:val="00575DD1"/>
    <w:rsid w:val="005816F1"/>
    <w:rsid w:val="005839E5"/>
    <w:rsid w:val="005A0036"/>
    <w:rsid w:val="005B0A92"/>
    <w:rsid w:val="005C0553"/>
    <w:rsid w:val="005D02A9"/>
    <w:rsid w:val="005E4A51"/>
    <w:rsid w:val="005E5D36"/>
    <w:rsid w:val="005F0345"/>
    <w:rsid w:val="005F1284"/>
    <w:rsid w:val="005F38A1"/>
    <w:rsid w:val="00600193"/>
    <w:rsid w:val="006062C1"/>
    <w:rsid w:val="00610943"/>
    <w:rsid w:val="00623C89"/>
    <w:rsid w:val="00630C3D"/>
    <w:rsid w:val="0063307D"/>
    <w:rsid w:val="00635096"/>
    <w:rsid w:val="00641428"/>
    <w:rsid w:val="006509F6"/>
    <w:rsid w:val="00651951"/>
    <w:rsid w:val="0067470E"/>
    <w:rsid w:val="006A6240"/>
    <w:rsid w:val="006B72E5"/>
    <w:rsid w:val="006C0048"/>
    <w:rsid w:val="006C22F3"/>
    <w:rsid w:val="006C524F"/>
    <w:rsid w:val="006C7BCD"/>
    <w:rsid w:val="006C7BF6"/>
    <w:rsid w:val="006D0AAB"/>
    <w:rsid w:val="006E03D5"/>
    <w:rsid w:val="006E1E5B"/>
    <w:rsid w:val="006E224A"/>
    <w:rsid w:val="00700FA2"/>
    <w:rsid w:val="00715F0F"/>
    <w:rsid w:val="00732191"/>
    <w:rsid w:val="00740A9C"/>
    <w:rsid w:val="0074429D"/>
    <w:rsid w:val="0075525B"/>
    <w:rsid w:val="007555EB"/>
    <w:rsid w:val="0075603C"/>
    <w:rsid w:val="00762AA5"/>
    <w:rsid w:val="0076387A"/>
    <w:rsid w:val="00765DF4"/>
    <w:rsid w:val="007670B1"/>
    <w:rsid w:val="0078579B"/>
    <w:rsid w:val="00793ADB"/>
    <w:rsid w:val="00794E4B"/>
    <w:rsid w:val="00795A85"/>
    <w:rsid w:val="007A3642"/>
    <w:rsid w:val="007A7D45"/>
    <w:rsid w:val="007B1634"/>
    <w:rsid w:val="007B24F0"/>
    <w:rsid w:val="007C739C"/>
    <w:rsid w:val="007C79B8"/>
    <w:rsid w:val="007E4509"/>
    <w:rsid w:val="007E4B47"/>
    <w:rsid w:val="007F25AF"/>
    <w:rsid w:val="007F5A0F"/>
    <w:rsid w:val="00800443"/>
    <w:rsid w:val="00806DFC"/>
    <w:rsid w:val="00822749"/>
    <w:rsid w:val="008254C1"/>
    <w:rsid w:val="008254CB"/>
    <w:rsid w:val="008336F9"/>
    <w:rsid w:val="00833BF2"/>
    <w:rsid w:val="00845D60"/>
    <w:rsid w:val="008536A0"/>
    <w:rsid w:val="008640A0"/>
    <w:rsid w:val="00867B6C"/>
    <w:rsid w:val="00880E5B"/>
    <w:rsid w:val="00883E62"/>
    <w:rsid w:val="008850C7"/>
    <w:rsid w:val="008A342B"/>
    <w:rsid w:val="008B15C1"/>
    <w:rsid w:val="008B69F6"/>
    <w:rsid w:val="008D00E3"/>
    <w:rsid w:val="008D65D1"/>
    <w:rsid w:val="008E5C59"/>
    <w:rsid w:val="009011A6"/>
    <w:rsid w:val="00901C68"/>
    <w:rsid w:val="00903950"/>
    <w:rsid w:val="00912D55"/>
    <w:rsid w:val="00932D98"/>
    <w:rsid w:val="00936A1D"/>
    <w:rsid w:val="00943F43"/>
    <w:rsid w:val="00952A95"/>
    <w:rsid w:val="00962720"/>
    <w:rsid w:val="009721F3"/>
    <w:rsid w:val="00983BA3"/>
    <w:rsid w:val="00985803"/>
    <w:rsid w:val="00987981"/>
    <w:rsid w:val="00993AF1"/>
    <w:rsid w:val="009A57C8"/>
    <w:rsid w:val="009C68CA"/>
    <w:rsid w:val="009D1530"/>
    <w:rsid w:val="009D776C"/>
    <w:rsid w:val="009E251A"/>
    <w:rsid w:val="009F3ADF"/>
    <w:rsid w:val="00A149EB"/>
    <w:rsid w:val="00A15BC3"/>
    <w:rsid w:val="00A166B6"/>
    <w:rsid w:val="00A201BD"/>
    <w:rsid w:val="00A415A7"/>
    <w:rsid w:val="00A41AB9"/>
    <w:rsid w:val="00A44472"/>
    <w:rsid w:val="00A56CEA"/>
    <w:rsid w:val="00A61C71"/>
    <w:rsid w:val="00A825AA"/>
    <w:rsid w:val="00A9076F"/>
    <w:rsid w:val="00A958B6"/>
    <w:rsid w:val="00AA2AA6"/>
    <w:rsid w:val="00AB1B2E"/>
    <w:rsid w:val="00AB3891"/>
    <w:rsid w:val="00AC721B"/>
    <w:rsid w:val="00AC7CC7"/>
    <w:rsid w:val="00AC7CF7"/>
    <w:rsid w:val="00AD22A0"/>
    <w:rsid w:val="00AE47E4"/>
    <w:rsid w:val="00AE5EC7"/>
    <w:rsid w:val="00AF2544"/>
    <w:rsid w:val="00AF35D4"/>
    <w:rsid w:val="00B009E9"/>
    <w:rsid w:val="00B03F86"/>
    <w:rsid w:val="00B06F55"/>
    <w:rsid w:val="00B13566"/>
    <w:rsid w:val="00B35EF9"/>
    <w:rsid w:val="00B420F0"/>
    <w:rsid w:val="00B53D12"/>
    <w:rsid w:val="00B57910"/>
    <w:rsid w:val="00B7146A"/>
    <w:rsid w:val="00B75C21"/>
    <w:rsid w:val="00BA050B"/>
    <w:rsid w:val="00BA3393"/>
    <w:rsid w:val="00BC6034"/>
    <w:rsid w:val="00BD44BA"/>
    <w:rsid w:val="00BE0386"/>
    <w:rsid w:val="00BE1795"/>
    <w:rsid w:val="00BE5C2F"/>
    <w:rsid w:val="00BF3146"/>
    <w:rsid w:val="00BF6B63"/>
    <w:rsid w:val="00C04533"/>
    <w:rsid w:val="00C07183"/>
    <w:rsid w:val="00C151B0"/>
    <w:rsid w:val="00C21508"/>
    <w:rsid w:val="00C21FC9"/>
    <w:rsid w:val="00C24CEE"/>
    <w:rsid w:val="00C27DA1"/>
    <w:rsid w:val="00C307D2"/>
    <w:rsid w:val="00C351EE"/>
    <w:rsid w:val="00C36A0F"/>
    <w:rsid w:val="00C45DB9"/>
    <w:rsid w:val="00C7114B"/>
    <w:rsid w:val="00C73507"/>
    <w:rsid w:val="00C775BC"/>
    <w:rsid w:val="00C90BD2"/>
    <w:rsid w:val="00CA2A9B"/>
    <w:rsid w:val="00CB6A96"/>
    <w:rsid w:val="00CD0890"/>
    <w:rsid w:val="00CD49C5"/>
    <w:rsid w:val="00CD6DE3"/>
    <w:rsid w:val="00CE04D5"/>
    <w:rsid w:val="00CF1EE7"/>
    <w:rsid w:val="00D01907"/>
    <w:rsid w:val="00D05617"/>
    <w:rsid w:val="00D06907"/>
    <w:rsid w:val="00D30385"/>
    <w:rsid w:val="00D33133"/>
    <w:rsid w:val="00D35DCB"/>
    <w:rsid w:val="00D44F3D"/>
    <w:rsid w:val="00D4598B"/>
    <w:rsid w:val="00D52A54"/>
    <w:rsid w:val="00D6040F"/>
    <w:rsid w:val="00D77AC1"/>
    <w:rsid w:val="00D875AD"/>
    <w:rsid w:val="00D877E8"/>
    <w:rsid w:val="00DA02E4"/>
    <w:rsid w:val="00DA195A"/>
    <w:rsid w:val="00DA6191"/>
    <w:rsid w:val="00DC1A7F"/>
    <w:rsid w:val="00DD611D"/>
    <w:rsid w:val="00DE63C0"/>
    <w:rsid w:val="00DF4439"/>
    <w:rsid w:val="00E00B80"/>
    <w:rsid w:val="00E01420"/>
    <w:rsid w:val="00E045D4"/>
    <w:rsid w:val="00E1186B"/>
    <w:rsid w:val="00E14B6A"/>
    <w:rsid w:val="00E261BA"/>
    <w:rsid w:val="00E263D0"/>
    <w:rsid w:val="00E506FC"/>
    <w:rsid w:val="00E55264"/>
    <w:rsid w:val="00E579DD"/>
    <w:rsid w:val="00E6544B"/>
    <w:rsid w:val="00E84DF9"/>
    <w:rsid w:val="00E91A9C"/>
    <w:rsid w:val="00EA4A69"/>
    <w:rsid w:val="00EB08C7"/>
    <w:rsid w:val="00EB2011"/>
    <w:rsid w:val="00EC1E4E"/>
    <w:rsid w:val="00EF7282"/>
    <w:rsid w:val="00F022B8"/>
    <w:rsid w:val="00F03C52"/>
    <w:rsid w:val="00F10166"/>
    <w:rsid w:val="00F10476"/>
    <w:rsid w:val="00F11E88"/>
    <w:rsid w:val="00F13E26"/>
    <w:rsid w:val="00F14561"/>
    <w:rsid w:val="00F41B5D"/>
    <w:rsid w:val="00F41BFE"/>
    <w:rsid w:val="00F45A0D"/>
    <w:rsid w:val="00F46573"/>
    <w:rsid w:val="00F5482E"/>
    <w:rsid w:val="00F54AAE"/>
    <w:rsid w:val="00F56E84"/>
    <w:rsid w:val="00F603C0"/>
    <w:rsid w:val="00F61521"/>
    <w:rsid w:val="00F70BF5"/>
    <w:rsid w:val="00F72CC1"/>
    <w:rsid w:val="00F7653D"/>
    <w:rsid w:val="00FA46BA"/>
    <w:rsid w:val="00FC2B24"/>
    <w:rsid w:val="00FF1A32"/>
    <w:rsid w:val="00FF4C9E"/>
    <w:rsid w:val="00FF7781"/>
    <w:rsid w:val="01DB7898"/>
    <w:rsid w:val="078A05E3"/>
    <w:rsid w:val="14D02500"/>
    <w:rsid w:val="3FCB71B2"/>
    <w:rsid w:val="480408B7"/>
    <w:rsid w:val="554E1AF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alloon Text"/>
    <w:basedOn w:val="1"/>
    <w:semiHidden/>
    <w:qFormat/>
    <w:uiPriority w:val="0"/>
    <w:rPr>
      <w:sz w:val="18"/>
      <w:szCs w:val="18"/>
    </w:rPr>
  </w:style>
  <w:style w:type="paragraph" w:styleId="3">
    <w:name w:val="footer"/>
    <w:basedOn w:val="1"/>
    <w:qFormat/>
    <w:uiPriority w:val="0"/>
    <w:pPr>
      <w:tabs>
        <w:tab w:val="center" w:pos="4153"/>
        <w:tab w:val="right" w:pos="8306"/>
      </w:tabs>
      <w:snapToGrid w:val="0"/>
      <w:jc w:val="left"/>
    </w:pPr>
    <w:rPr>
      <w:sz w:val="18"/>
      <w:szCs w:val="18"/>
    </w:rPr>
  </w:style>
  <w:style w:type="paragraph" w:styleId="4">
    <w:name w:val="header"/>
    <w:basedOn w:val="1"/>
    <w:link w:val="8"/>
    <w:qFormat/>
    <w:uiPriority w:val="0"/>
    <w:pPr>
      <w:pBdr>
        <w:bottom w:val="single" w:color="auto" w:sz="6" w:space="1"/>
      </w:pBdr>
      <w:tabs>
        <w:tab w:val="center" w:pos="4153"/>
        <w:tab w:val="right" w:pos="8306"/>
      </w:tabs>
      <w:snapToGrid w:val="0"/>
      <w:jc w:val="center"/>
    </w:pPr>
    <w:rPr>
      <w:sz w:val="18"/>
      <w:szCs w:val="18"/>
    </w:rPr>
  </w:style>
  <w:style w:type="table" w:styleId="6">
    <w:name w:val="Table Grid"/>
    <w:basedOn w:val="5"/>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8">
    <w:name w:val="页眉 字符"/>
    <w:link w:val="4"/>
    <w:uiPriority w:val="0"/>
    <w:rPr>
      <w:rFonts w:eastAsia="宋体"/>
      <w:kern w:val="2"/>
      <w:sz w:val="18"/>
      <w:szCs w:val="18"/>
      <w:lang w:val="en-US" w:eastAsia="zh-CN" w:bidi="ar-SA"/>
    </w:rPr>
  </w:style>
  <w:style w:type="paragraph" w:customStyle="1" w:styleId="9">
    <w:name w:val="Char Char Char Char1 Char Char Char Char Char Char Char Char Char1 Char Char Char Char Char Char Char Char Char Char Char Char"/>
    <w:basedOn w:val="1"/>
    <w:qFormat/>
    <w:uiPriority w:val="0"/>
    <w:pPr>
      <w:widowControl/>
      <w:spacing w:after="160" w:line="240" w:lineRule="exact"/>
      <w:jc w:val="left"/>
    </w:pPr>
    <w:rPr>
      <w:kern w:val="0"/>
      <w:sz w:val="20"/>
      <w:szCs w:val="20"/>
    </w:rPr>
  </w:style>
  <w:style w:type="paragraph" w:customStyle="1" w:styleId="10">
    <w:name w:val="Char"/>
    <w:basedOn w:val="1"/>
    <w:qFormat/>
    <w:uiPriority w:val="0"/>
    <w:pPr>
      <w:widowControl/>
      <w:spacing w:after="160" w:line="240" w:lineRule="exact"/>
      <w:jc w:val="left"/>
    </w:pPr>
    <w:rPr>
      <w:kern w:val="0"/>
      <w:sz w:val="20"/>
      <w:szCs w:val="20"/>
    </w:rPr>
  </w:style>
  <w:style w:type="paragraph" w:customStyle="1" w:styleId="11">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12">
    <w:name w:val="CM1"/>
    <w:basedOn w:val="11"/>
    <w:next w:val="11"/>
    <w:uiPriority w:val="0"/>
    <w:pPr>
      <w:spacing w:line="468" w:lineRule="atLeast"/>
    </w:pPr>
    <w:rPr>
      <w:color w:val="auto"/>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4</Pages>
  <Words>1832</Words>
  <Characters>1884</Characters>
  <Lines>14</Lines>
  <Paragraphs>4</Paragraphs>
  <TotalTime>1</TotalTime>
  <ScaleCrop>false</ScaleCrop>
  <LinksUpToDate>false</LinksUpToDate>
  <CharactersWithSpaces>1952</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2015-06-06T05:43:00Z</dcterms:created>
  <dc:creator>Llinks</dc:creator>
  <cp:lastModifiedBy>lln</cp:lastModifiedBy>
  <dcterms:modified xsi:type="dcterms:W3CDTF">2025-08-19T10:11:51Z</dcterms:modified>
  <dc:title>议案十四</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eyJoZGlkIjoiOTY5MGY0N2RkMmFlNDMzZDk2OWQ4NzBkNDJjZTc3NjciLCJ1c2VySWQiOiI3Mjk5Njk2NTYifQ==</vt:lpwstr>
  </property>
  <property fmtid="{D5CDD505-2E9C-101B-9397-08002B2CF9AE}" pid="3" name="KSOProductBuildVer">
    <vt:lpwstr>2052-12.1.0.21915</vt:lpwstr>
  </property>
  <property fmtid="{D5CDD505-2E9C-101B-9397-08002B2CF9AE}" pid="4" name="ICV">
    <vt:lpwstr>120049C4061C4E7394736F41F0911776_13</vt:lpwstr>
  </property>
</Properties>
</file>