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94567">
      <w:pPr>
        <w:tabs>
          <w:tab w:val="right" w:pos="9070"/>
        </w:tabs>
        <w:spacing w:line="520" w:lineRule="exact"/>
        <w:jc w:val="center"/>
        <w:rPr>
          <w:rFonts w:ascii="宋体" w:hAnsi="宋体" w:cs="Arial"/>
          <w:sz w:val="24"/>
        </w:rPr>
      </w:pPr>
      <w:bookmarkStart w:id="0" w:name="_GoBack"/>
      <w:bookmarkEnd w:id="0"/>
    </w:p>
    <w:p w14:paraId="0C98F23D">
      <w:pPr>
        <w:tabs>
          <w:tab w:val="right" w:pos="9070"/>
        </w:tabs>
        <w:spacing w:line="360" w:lineRule="auto"/>
        <w:jc w:val="center"/>
        <w:rPr>
          <w:rFonts w:ascii="宋体" w:hAnsi="宋体" w:cs="Arial"/>
          <w:b/>
          <w:sz w:val="32"/>
          <w:szCs w:val="32"/>
        </w:rPr>
      </w:pPr>
      <w:r>
        <w:rPr>
          <w:rFonts w:hint="eastAsia" w:ascii="宋体" w:hAnsi="宋体" w:cs="Arial"/>
          <w:b/>
          <w:sz w:val="32"/>
          <w:szCs w:val="32"/>
        </w:rPr>
        <w:t>关于防范控股股东、实际控制人及关联方</w:t>
      </w:r>
    </w:p>
    <w:p w14:paraId="0BA3BC41">
      <w:pPr>
        <w:tabs>
          <w:tab w:val="right" w:pos="9070"/>
        </w:tabs>
        <w:spacing w:line="360" w:lineRule="auto"/>
        <w:jc w:val="center"/>
        <w:rPr>
          <w:rFonts w:ascii="宋体" w:hAnsi="宋体" w:cs="Arial"/>
          <w:b/>
          <w:sz w:val="32"/>
          <w:szCs w:val="32"/>
        </w:rPr>
      </w:pPr>
      <w:r>
        <w:rPr>
          <w:rFonts w:hint="eastAsia" w:ascii="宋体" w:hAnsi="宋体" w:cs="Arial"/>
          <w:b/>
          <w:sz w:val="32"/>
          <w:szCs w:val="32"/>
        </w:rPr>
        <w:t>占用上市公司资金的管理办法</w:t>
      </w:r>
    </w:p>
    <w:p w14:paraId="3FEC71AA">
      <w:pPr>
        <w:tabs>
          <w:tab w:val="right" w:pos="9070"/>
        </w:tabs>
        <w:spacing w:line="360" w:lineRule="auto"/>
        <w:jc w:val="center"/>
        <w:rPr>
          <w:rFonts w:ascii="宋体" w:hAnsi="宋体" w:cs="Arial"/>
          <w:sz w:val="24"/>
        </w:rPr>
      </w:pPr>
    </w:p>
    <w:p w14:paraId="5B4687D0">
      <w:pPr>
        <w:numPr>
          <w:ilvl w:val="0"/>
          <w:numId w:val="1"/>
        </w:numPr>
        <w:tabs>
          <w:tab w:val="right" w:pos="9070"/>
        </w:tabs>
        <w:spacing w:line="360" w:lineRule="auto"/>
        <w:jc w:val="center"/>
        <w:rPr>
          <w:rFonts w:ascii="宋体" w:hAnsi="宋体" w:cs="Arial"/>
          <w:b/>
          <w:sz w:val="24"/>
        </w:rPr>
      </w:pPr>
      <w:r>
        <w:rPr>
          <w:rFonts w:hint="eastAsia" w:ascii="宋体" w:hAnsi="宋体" w:cs="Arial"/>
          <w:b/>
          <w:sz w:val="24"/>
        </w:rPr>
        <w:t>总 则</w:t>
      </w:r>
    </w:p>
    <w:p w14:paraId="16E4E52E">
      <w:pPr>
        <w:tabs>
          <w:tab w:val="right" w:pos="9070"/>
        </w:tabs>
        <w:spacing w:line="360" w:lineRule="auto"/>
        <w:rPr>
          <w:rFonts w:ascii="宋体" w:hAnsi="宋体" w:cs="Arial"/>
          <w:sz w:val="24"/>
        </w:rPr>
      </w:pPr>
    </w:p>
    <w:p w14:paraId="197AFFCB">
      <w:pPr>
        <w:numPr>
          <w:ilvl w:val="0"/>
          <w:numId w:val="2"/>
        </w:numPr>
        <w:tabs>
          <w:tab w:val="right" w:pos="9070"/>
        </w:tabs>
        <w:spacing w:line="500" w:lineRule="exact"/>
        <w:rPr>
          <w:rFonts w:ascii="宋体" w:hAnsi="宋体" w:cs="Arial"/>
          <w:sz w:val="24"/>
        </w:rPr>
      </w:pPr>
      <w:r>
        <w:rPr>
          <w:rFonts w:hint="eastAsia" w:ascii="宋体" w:hAnsi="宋体" w:cs="Arial"/>
          <w:sz w:val="24"/>
        </w:rPr>
        <w:t>为了建立防止控股股东及关联方占用永兴特种材料科技股份有限公司及其控股子公司（以下称“公司”）资金的长效机制，杜绝控股股东及关联方资金占用行为的发生，根据《中华人民共和国公司法》、《上市公司监管指引第8号——上市公司资金往来、对外担保的监管要求》、《关于进一步做好清理大股东占用上市公司资金工作的通知》（证监发[2006]128号）、《深圳证券交易所股票上市规则》、《深圳证券交易所上市公司自律监管指引第1号——主板上市公司规范运作》等法律、法规及规范性文件，以及《公司章程》的有关规定，特制定本办法。</w:t>
      </w:r>
    </w:p>
    <w:p w14:paraId="74CB5C64">
      <w:pPr>
        <w:tabs>
          <w:tab w:val="left" w:pos="975"/>
          <w:tab w:val="right" w:pos="9070"/>
        </w:tabs>
        <w:spacing w:line="500" w:lineRule="exact"/>
        <w:ind w:left="975"/>
        <w:rPr>
          <w:rFonts w:hint="eastAsia" w:ascii="宋体" w:hAnsi="宋体" w:cs="Arial"/>
          <w:sz w:val="24"/>
        </w:rPr>
      </w:pPr>
    </w:p>
    <w:p w14:paraId="3BB45CF8">
      <w:pPr>
        <w:numPr>
          <w:ilvl w:val="0"/>
          <w:numId w:val="2"/>
        </w:numPr>
        <w:tabs>
          <w:tab w:val="right" w:pos="9070"/>
        </w:tabs>
        <w:spacing w:line="500" w:lineRule="exact"/>
        <w:rPr>
          <w:rFonts w:ascii="宋体" w:hAnsi="宋体" w:cs="Arial"/>
          <w:sz w:val="24"/>
        </w:rPr>
      </w:pPr>
      <w:r>
        <w:rPr>
          <w:rFonts w:hint="eastAsia" w:ascii="宋体" w:hAnsi="宋体" w:cs="Arial"/>
          <w:sz w:val="24"/>
        </w:rPr>
        <w:t>公司董事和高级管理人员对维护公司资金安全有法定义务。</w:t>
      </w:r>
    </w:p>
    <w:p w14:paraId="1F933655">
      <w:pPr>
        <w:tabs>
          <w:tab w:val="right" w:pos="9070"/>
        </w:tabs>
        <w:spacing w:line="500" w:lineRule="exact"/>
        <w:ind w:left="975"/>
        <w:rPr>
          <w:rFonts w:ascii="宋体" w:hAnsi="宋体" w:cs="Arial"/>
          <w:sz w:val="24"/>
        </w:rPr>
      </w:pPr>
      <w:r>
        <w:rPr>
          <w:rFonts w:hint="eastAsia" w:ascii="宋体" w:hAnsi="宋体" w:cs="Arial"/>
          <w:sz w:val="24"/>
        </w:rPr>
        <w:t>本制度适用于公司控股股东、实际控制人及其他关联方与公司间的资金管理。公司控股股东、实际控制人及其他关联方与纳入公司合并会计报表范围的子公司之间的资金往来适用本制度。</w:t>
      </w:r>
    </w:p>
    <w:p w14:paraId="3FD981CD">
      <w:pPr>
        <w:tabs>
          <w:tab w:val="right" w:pos="9070"/>
        </w:tabs>
        <w:spacing w:line="500" w:lineRule="exact"/>
        <w:ind w:left="975"/>
        <w:rPr>
          <w:rFonts w:ascii="宋体" w:hAnsi="宋体" w:cs="Arial"/>
          <w:sz w:val="24"/>
        </w:rPr>
      </w:pPr>
      <w:r>
        <w:rPr>
          <w:rFonts w:hint="eastAsia" w:ascii="宋体" w:hAnsi="宋体" w:cs="Arial"/>
          <w:sz w:val="24"/>
        </w:rPr>
        <w:t>本制度所称“关联方”，是指根据相关法律、法规和《深圳证券交易所股票上市规则》所界定的关联方，包括关联法人和关联自然人。</w:t>
      </w:r>
    </w:p>
    <w:p w14:paraId="2110BB6D">
      <w:pPr>
        <w:tabs>
          <w:tab w:val="right" w:pos="9070"/>
        </w:tabs>
        <w:spacing w:line="500" w:lineRule="exact"/>
        <w:ind w:left="975"/>
        <w:rPr>
          <w:rFonts w:hint="eastAsia" w:ascii="宋体" w:hAnsi="宋体" w:cs="Arial"/>
          <w:sz w:val="24"/>
        </w:rPr>
      </w:pPr>
    </w:p>
    <w:p w14:paraId="63DD685C">
      <w:pPr>
        <w:numPr>
          <w:ilvl w:val="0"/>
          <w:numId w:val="2"/>
        </w:numPr>
        <w:tabs>
          <w:tab w:val="right" w:pos="9070"/>
        </w:tabs>
        <w:spacing w:line="500" w:lineRule="exact"/>
        <w:rPr>
          <w:rFonts w:ascii="宋体" w:hAnsi="宋体" w:cs="Arial"/>
          <w:sz w:val="24"/>
        </w:rPr>
      </w:pPr>
      <w:r>
        <w:rPr>
          <w:rFonts w:hint="eastAsia" w:ascii="宋体" w:hAnsi="宋体" w:cs="Arial"/>
          <w:sz w:val="24"/>
        </w:rPr>
        <w:t>本制度所称资金占用包括(但不限于其他方式)：经营性资金占用(控股股东、实际控制人及其他关联方通过采购、销售等生产经营环节的关联交易产生的资金占用)、非经营性资金占用(为控股股东、实际控制人及其他关联方垫付、承担工资、福利、保险、广告等费用其</w:t>
      </w:r>
      <w:r>
        <w:rPr>
          <w:rFonts w:hint="eastAsia" w:ascii="宋体" w:hAnsi="宋体" w:cs="Arial"/>
          <w:sz w:val="24"/>
          <w:lang w:val="en-US" w:eastAsia="zh-CN"/>
        </w:rPr>
        <w:t>他</w:t>
      </w:r>
      <w:r>
        <w:rPr>
          <w:rFonts w:hint="eastAsia" w:ascii="宋体" w:hAnsi="宋体" w:cs="Arial"/>
          <w:sz w:val="24"/>
        </w:rPr>
        <w:t>支出，代控股股东、实际控制人及其他关联方偿还债务而支付资金，有偿或无偿、直接或间接拆借给控股股东、实际控制人及其他关联方资金，为控股股东、实际控制人及其他关联方承担担保责任而形成的债权，其它在没有商品和劳务提供情况下给控股股东、实际控制人及其他关联方使用的资金)。</w:t>
      </w:r>
    </w:p>
    <w:p w14:paraId="349B500E">
      <w:pPr>
        <w:tabs>
          <w:tab w:val="left" w:pos="975"/>
          <w:tab w:val="right" w:pos="9070"/>
        </w:tabs>
        <w:spacing w:line="500" w:lineRule="exact"/>
        <w:ind w:left="975"/>
        <w:rPr>
          <w:rFonts w:hint="eastAsia" w:ascii="宋体" w:hAnsi="宋体" w:cs="Arial"/>
          <w:sz w:val="24"/>
        </w:rPr>
      </w:pPr>
    </w:p>
    <w:p w14:paraId="51471D46">
      <w:pPr>
        <w:numPr>
          <w:ilvl w:val="0"/>
          <w:numId w:val="2"/>
        </w:numPr>
        <w:tabs>
          <w:tab w:val="right" w:pos="9070"/>
        </w:tabs>
        <w:spacing w:line="500" w:lineRule="exact"/>
        <w:rPr>
          <w:rFonts w:ascii="宋体" w:hAnsi="宋体" w:cs="Arial"/>
          <w:sz w:val="24"/>
        </w:rPr>
      </w:pPr>
      <w:r>
        <w:rPr>
          <w:rFonts w:hint="eastAsia" w:ascii="宋体" w:hAnsi="宋体" w:cs="Arial"/>
          <w:sz w:val="24"/>
        </w:rPr>
        <w:t>公司应防止控股股东及关联方通过各种方式直接或间接占用公司的资金和资源，公司不得以垫支工资、福利、保险、广告等期间费用，预付投资款等方式将资金、资产和资源直接或间接地提供给控股股东、实际控制人及其关联方使用。</w:t>
      </w:r>
    </w:p>
    <w:p w14:paraId="56D5BB38">
      <w:pPr>
        <w:pStyle w:val="17"/>
        <w:ind w:firstLine="480"/>
        <w:rPr>
          <w:rFonts w:hint="eastAsia" w:ascii="宋体" w:hAnsi="宋体" w:cs="Arial"/>
          <w:sz w:val="24"/>
        </w:rPr>
      </w:pPr>
    </w:p>
    <w:p w14:paraId="48A13CE5">
      <w:pPr>
        <w:tabs>
          <w:tab w:val="left" w:pos="975"/>
          <w:tab w:val="right" w:pos="9070"/>
        </w:tabs>
        <w:spacing w:line="500" w:lineRule="exact"/>
        <w:ind w:left="975"/>
        <w:rPr>
          <w:rFonts w:hint="eastAsia" w:ascii="宋体" w:hAnsi="宋体" w:cs="Arial"/>
          <w:sz w:val="24"/>
        </w:rPr>
      </w:pPr>
    </w:p>
    <w:p w14:paraId="5A1A0A2F">
      <w:pPr>
        <w:numPr>
          <w:ilvl w:val="0"/>
          <w:numId w:val="2"/>
        </w:numPr>
        <w:tabs>
          <w:tab w:val="right" w:pos="9070"/>
        </w:tabs>
        <w:spacing w:line="500" w:lineRule="exact"/>
        <w:rPr>
          <w:rFonts w:ascii="宋体" w:hAnsi="宋体" w:cs="Arial"/>
          <w:sz w:val="24"/>
        </w:rPr>
      </w:pPr>
      <w:r>
        <w:rPr>
          <w:rFonts w:hint="eastAsia" w:ascii="宋体" w:hAnsi="宋体" w:cs="Arial"/>
          <w:sz w:val="24"/>
        </w:rPr>
        <w:t>公司不得以下列方式将资金直接或间接地违规提供给控股股东、实际控制人及其他关联方使用：</w:t>
      </w:r>
    </w:p>
    <w:p w14:paraId="56B00962">
      <w:pPr>
        <w:numPr>
          <w:ilvl w:val="1"/>
          <w:numId w:val="2"/>
        </w:numPr>
        <w:tabs>
          <w:tab w:val="right" w:pos="9070"/>
        </w:tabs>
        <w:spacing w:line="500" w:lineRule="exact"/>
        <w:rPr>
          <w:rFonts w:ascii="宋体" w:hAnsi="宋体" w:cs="Arial"/>
          <w:sz w:val="24"/>
        </w:rPr>
      </w:pPr>
      <w:r>
        <w:rPr>
          <w:rFonts w:hint="eastAsia" w:ascii="宋体" w:hAnsi="宋体" w:cs="Arial"/>
          <w:sz w:val="24"/>
        </w:rPr>
        <w:t>为控股股东</w:t>
      </w:r>
      <w:r>
        <w:rPr>
          <w:rFonts w:hint="eastAsia" w:ascii="Arial" w:hAnsi="宋体" w:cs="Arial"/>
          <w:color w:val="000000"/>
          <w:kern w:val="0"/>
          <w:sz w:val="23"/>
          <w:szCs w:val="23"/>
        </w:rPr>
        <w:t>、实际控制人</w:t>
      </w:r>
      <w:r>
        <w:rPr>
          <w:rFonts w:hint="eastAsia" w:ascii="宋体" w:hAnsi="宋体" w:cs="Arial"/>
          <w:sz w:val="24"/>
        </w:rPr>
        <w:t>及其他关联方垫付、承担工资、福利、保险、广告等费用、成本和其他支出；</w:t>
      </w:r>
    </w:p>
    <w:p w14:paraId="0E1AED9F">
      <w:pPr>
        <w:numPr>
          <w:ilvl w:val="1"/>
          <w:numId w:val="2"/>
        </w:numPr>
        <w:tabs>
          <w:tab w:val="right" w:pos="9070"/>
        </w:tabs>
        <w:spacing w:line="500" w:lineRule="exact"/>
        <w:rPr>
          <w:rFonts w:ascii="宋体" w:hAnsi="宋体" w:cs="Arial"/>
          <w:sz w:val="24"/>
        </w:rPr>
      </w:pPr>
      <w:r>
        <w:rPr>
          <w:rFonts w:hint="eastAsia" w:ascii="宋体" w:hAnsi="宋体" w:cs="Arial"/>
          <w:sz w:val="24"/>
        </w:rPr>
        <w:t>有偿或者无偿地拆借公司的资金(含委托贷款)给控股股东、实际控制人及其他关联方使用，但公司参股公司的其他股东同比例提供资金的除外。前述所称“参股公司”，不包括由控股股东、实际控制人控制的公司；</w:t>
      </w:r>
    </w:p>
    <w:p w14:paraId="20C43FBD">
      <w:pPr>
        <w:numPr>
          <w:ilvl w:val="1"/>
          <w:numId w:val="2"/>
        </w:numPr>
        <w:tabs>
          <w:tab w:val="right" w:pos="9070"/>
        </w:tabs>
        <w:spacing w:line="360" w:lineRule="auto"/>
        <w:rPr>
          <w:rFonts w:ascii="宋体" w:hAnsi="宋体" w:cs="Arial"/>
          <w:sz w:val="24"/>
        </w:rPr>
      </w:pPr>
      <w:r>
        <w:rPr>
          <w:rFonts w:hint="eastAsia" w:ascii="宋体" w:hAnsi="宋体" w:cs="Arial"/>
          <w:sz w:val="24"/>
        </w:rPr>
        <w:t>委托控股股东、实际控制人及其他关联方进行投资活动；</w:t>
      </w:r>
    </w:p>
    <w:p w14:paraId="65010049">
      <w:pPr>
        <w:numPr>
          <w:ilvl w:val="1"/>
          <w:numId w:val="2"/>
        </w:numPr>
        <w:tabs>
          <w:tab w:val="right" w:pos="9070"/>
        </w:tabs>
        <w:spacing w:line="360" w:lineRule="auto"/>
        <w:rPr>
          <w:rFonts w:ascii="宋体" w:hAnsi="宋体" w:cs="Arial"/>
          <w:sz w:val="24"/>
        </w:rPr>
      </w:pPr>
      <w:r>
        <w:rPr>
          <w:rFonts w:hint="eastAsia" w:ascii="宋体" w:hAnsi="宋体" w:cs="Arial"/>
          <w:sz w:val="24"/>
        </w:rPr>
        <w:t>为控股股东、实际控制人及其他关联方开具没有真实交易背景的商业承兑汇票，以及在没有商品和劳务对价情况下或者明显有悖商业逻辑情况下以采购款、资产转让款、预付款等方式提供资金；</w:t>
      </w:r>
    </w:p>
    <w:p w14:paraId="0C63C49E">
      <w:pPr>
        <w:numPr>
          <w:ilvl w:val="1"/>
          <w:numId w:val="2"/>
        </w:numPr>
        <w:tabs>
          <w:tab w:val="right" w:pos="9070"/>
        </w:tabs>
        <w:spacing w:line="360" w:lineRule="auto"/>
        <w:rPr>
          <w:rFonts w:ascii="宋体" w:hAnsi="宋体" w:cs="Arial"/>
          <w:sz w:val="24"/>
        </w:rPr>
      </w:pPr>
      <w:r>
        <w:rPr>
          <w:rFonts w:hint="eastAsia" w:ascii="宋体" w:hAnsi="宋体" w:cs="Arial"/>
          <w:sz w:val="24"/>
        </w:rPr>
        <w:t>代控股股东、实际控制</w:t>
      </w:r>
      <w:r>
        <w:rPr>
          <w:rFonts w:hint="eastAsia" w:ascii="宋体" w:hAnsi="宋体" w:cs="Arial"/>
          <w:sz w:val="24"/>
          <w:lang w:val="en-US" w:eastAsia="zh-CN"/>
        </w:rPr>
        <w:t>人</w:t>
      </w:r>
      <w:r>
        <w:rPr>
          <w:rFonts w:hint="eastAsia" w:ascii="宋体" w:hAnsi="宋体" w:cs="Arial"/>
          <w:sz w:val="24"/>
        </w:rPr>
        <w:t>及其他关联方偿还债务；</w:t>
      </w:r>
    </w:p>
    <w:p w14:paraId="18B8FB17">
      <w:pPr>
        <w:numPr>
          <w:ilvl w:val="1"/>
          <w:numId w:val="2"/>
        </w:numPr>
        <w:tabs>
          <w:tab w:val="right" w:pos="9070"/>
        </w:tabs>
        <w:spacing w:line="360" w:lineRule="auto"/>
        <w:rPr>
          <w:rFonts w:ascii="宋体" w:hAnsi="宋体" w:cs="Arial"/>
          <w:sz w:val="24"/>
        </w:rPr>
      </w:pPr>
      <w:r>
        <w:rPr>
          <w:rFonts w:hint="eastAsia" w:ascii="宋体" w:hAnsi="宋体" w:cs="Arial"/>
          <w:sz w:val="24"/>
        </w:rPr>
        <w:t>中国证监会及深圳证券交易所认定的其他情形。</w:t>
      </w:r>
    </w:p>
    <w:p w14:paraId="5FB76DF0">
      <w:pPr>
        <w:tabs>
          <w:tab w:val="right" w:pos="9070"/>
        </w:tabs>
        <w:spacing w:line="360" w:lineRule="auto"/>
        <w:ind w:left="1080"/>
        <w:rPr>
          <w:rFonts w:ascii="宋体" w:hAnsi="宋体" w:cs="Arial"/>
          <w:sz w:val="24"/>
        </w:rPr>
      </w:pPr>
      <w:r>
        <w:rPr>
          <w:rFonts w:hint="eastAsia" w:ascii="宋体" w:hAnsi="宋体" w:cs="Arial"/>
          <w:sz w:val="24"/>
        </w:rPr>
        <w:t>控股股东、实际控制人不得以“期间占用、期末归还”或者“小金额、多批次”等形式占用公司资金。</w:t>
      </w:r>
    </w:p>
    <w:p w14:paraId="019C4B7A">
      <w:pPr>
        <w:tabs>
          <w:tab w:val="right" w:pos="9070"/>
        </w:tabs>
        <w:spacing w:line="360" w:lineRule="auto"/>
        <w:rPr>
          <w:rFonts w:hint="eastAsia" w:ascii="宋体" w:hAnsi="宋体" w:cs="Arial"/>
          <w:sz w:val="24"/>
        </w:rPr>
      </w:pPr>
    </w:p>
    <w:p w14:paraId="550C5A30">
      <w:pPr>
        <w:numPr>
          <w:ilvl w:val="0"/>
          <w:numId w:val="2"/>
        </w:numPr>
        <w:tabs>
          <w:tab w:val="right" w:pos="9070"/>
        </w:tabs>
        <w:spacing w:line="360" w:lineRule="auto"/>
        <w:rPr>
          <w:rFonts w:ascii="宋体" w:hAnsi="宋体" w:cs="Arial"/>
          <w:sz w:val="24"/>
        </w:rPr>
      </w:pPr>
      <w:r>
        <w:rPr>
          <w:rFonts w:hint="eastAsia" w:ascii="宋体" w:hAnsi="宋体" w:cs="Arial"/>
          <w:sz w:val="24"/>
        </w:rPr>
        <w:t>公司按照监管部门对关联交易的相关规定实施公司与控股股东及关联方通过采购、销售等生产经营环节产生的关联交易行为。</w:t>
      </w:r>
    </w:p>
    <w:p w14:paraId="542EEC69">
      <w:pPr>
        <w:tabs>
          <w:tab w:val="left" w:pos="975"/>
          <w:tab w:val="right" w:pos="9070"/>
        </w:tabs>
        <w:spacing w:line="360" w:lineRule="auto"/>
        <w:ind w:left="975"/>
        <w:rPr>
          <w:rFonts w:hint="eastAsia" w:ascii="宋体" w:hAnsi="宋体" w:cs="Arial"/>
          <w:sz w:val="24"/>
        </w:rPr>
      </w:pPr>
    </w:p>
    <w:p w14:paraId="0F98982B">
      <w:pPr>
        <w:numPr>
          <w:ilvl w:val="0"/>
          <w:numId w:val="2"/>
        </w:numPr>
        <w:tabs>
          <w:tab w:val="right" w:pos="9070"/>
        </w:tabs>
        <w:spacing w:line="360" w:lineRule="auto"/>
        <w:rPr>
          <w:rFonts w:ascii="宋体" w:hAnsi="宋体" w:cs="Arial"/>
          <w:sz w:val="24"/>
        </w:rPr>
      </w:pPr>
      <w:r>
        <w:rPr>
          <w:rFonts w:hint="eastAsia" w:ascii="宋体" w:hAnsi="宋体" w:cs="Arial"/>
          <w:sz w:val="24"/>
        </w:rPr>
        <w:t>公司严格防止控股股东及其附属企业的非经营性资金占用的行为，并持续建立防止控股股东非经营性资金占用的长效机制。公司财务部门和审计部应分别定期检查公司本部及下属子公司与控股股东及其附属企业非经营性资金往来情况，杜绝控股股东及其附属企业的非经营性占用</w:t>
      </w:r>
      <w:r>
        <w:rPr>
          <w:rFonts w:hint="eastAsia" w:ascii="宋体" w:hAnsi="宋体" w:cs="Arial"/>
          <w:sz w:val="24"/>
          <w:lang w:val="en-US" w:eastAsia="zh-CN"/>
        </w:rPr>
        <w:t>公司</w:t>
      </w:r>
      <w:r>
        <w:rPr>
          <w:rFonts w:hint="eastAsia" w:ascii="宋体" w:hAnsi="宋体" w:cs="Arial"/>
          <w:sz w:val="24"/>
        </w:rPr>
        <w:t>资金的</w:t>
      </w:r>
      <w:r>
        <w:rPr>
          <w:rFonts w:hint="eastAsia" w:ascii="宋体" w:hAnsi="宋体" w:cs="Arial"/>
          <w:sz w:val="24"/>
          <w:lang w:val="en-US" w:eastAsia="zh-CN"/>
        </w:rPr>
        <w:t>情况</w:t>
      </w:r>
      <w:r>
        <w:rPr>
          <w:rFonts w:hint="eastAsia" w:ascii="宋体" w:hAnsi="宋体" w:cs="Arial"/>
          <w:sz w:val="24"/>
        </w:rPr>
        <w:t>的发生。</w:t>
      </w:r>
    </w:p>
    <w:p w14:paraId="1C5B6C02">
      <w:pPr>
        <w:tabs>
          <w:tab w:val="right" w:pos="9070"/>
        </w:tabs>
        <w:spacing w:line="360" w:lineRule="auto"/>
        <w:ind w:left="1080"/>
        <w:rPr>
          <w:rFonts w:ascii="宋体" w:hAnsi="宋体" w:cs="Arial"/>
          <w:sz w:val="24"/>
        </w:rPr>
      </w:pPr>
    </w:p>
    <w:p w14:paraId="2E35BC44">
      <w:pPr>
        <w:numPr>
          <w:ilvl w:val="0"/>
          <w:numId w:val="1"/>
        </w:numPr>
        <w:tabs>
          <w:tab w:val="right" w:pos="9070"/>
        </w:tabs>
        <w:spacing w:line="360" w:lineRule="auto"/>
        <w:jc w:val="center"/>
        <w:rPr>
          <w:rFonts w:ascii="宋体" w:hAnsi="宋体" w:cs="Arial"/>
          <w:b/>
          <w:sz w:val="24"/>
        </w:rPr>
      </w:pPr>
      <w:r>
        <w:rPr>
          <w:rFonts w:hint="eastAsia" w:ascii="宋体" w:hAnsi="宋体" w:cs="Arial"/>
          <w:b/>
          <w:sz w:val="24"/>
        </w:rPr>
        <w:t>责任和措施</w:t>
      </w:r>
    </w:p>
    <w:p w14:paraId="3FFFE04C">
      <w:pPr>
        <w:tabs>
          <w:tab w:val="left" w:pos="840"/>
          <w:tab w:val="right" w:pos="9070"/>
        </w:tabs>
        <w:spacing w:line="360" w:lineRule="auto"/>
        <w:ind w:left="840"/>
        <w:rPr>
          <w:rFonts w:hint="eastAsia" w:ascii="宋体" w:hAnsi="宋体" w:cs="Arial"/>
          <w:b/>
          <w:sz w:val="24"/>
        </w:rPr>
      </w:pPr>
    </w:p>
    <w:p w14:paraId="5B5A7CE1">
      <w:pPr>
        <w:numPr>
          <w:ilvl w:val="0"/>
          <w:numId w:val="2"/>
        </w:numPr>
        <w:tabs>
          <w:tab w:val="right" w:pos="9070"/>
        </w:tabs>
        <w:spacing w:line="360" w:lineRule="auto"/>
        <w:rPr>
          <w:rFonts w:ascii="宋体" w:hAnsi="宋体" w:cs="Arial"/>
          <w:sz w:val="24"/>
        </w:rPr>
      </w:pPr>
      <w:r>
        <w:rPr>
          <w:rFonts w:hint="eastAsia" w:ascii="宋体" w:hAnsi="宋体" w:cs="Arial"/>
          <w:sz w:val="24"/>
        </w:rPr>
        <w:t>公司董事、高级管理人员应按照《公司法》及《公司章程》等有关规定勤勉尽职地履行职责，维护公司资金和财产安全。</w:t>
      </w:r>
    </w:p>
    <w:p w14:paraId="56BA8D77">
      <w:pPr>
        <w:tabs>
          <w:tab w:val="left" w:pos="975"/>
          <w:tab w:val="right" w:pos="9070"/>
        </w:tabs>
        <w:spacing w:line="360" w:lineRule="auto"/>
        <w:ind w:left="975"/>
        <w:rPr>
          <w:rFonts w:hint="eastAsia" w:ascii="宋体" w:hAnsi="宋体" w:cs="Arial"/>
          <w:sz w:val="24"/>
        </w:rPr>
      </w:pPr>
    </w:p>
    <w:p w14:paraId="4C9BA335">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公司董事长是防止资金占用、资金占用清欠工作的第一责任人。</w:t>
      </w:r>
    </w:p>
    <w:p w14:paraId="6A5739BF">
      <w:pPr>
        <w:tabs>
          <w:tab w:val="left" w:pos="975"/>
          <w:tab w:val="right" w:pos="9070"/>
        </w:tabs>
        <w:spacing w:line="360" w:lineRule="auto"/>
        <w:ind w:left="975"/>
        <w:rPr>
          <w:rFonts w:hint="eastAsia" w:ascii="宋体" w:hAnsi="宋体" w:cs="Arial"/>
          <w:sz w:val="24"/>
        </w:rPr>
      </w:pPr>
    </w:p>
    <w:p w14:paraId="4076FB37">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公司董事会、董事长按照各自权限和职责审议批准公司与控股股东及关联方通过采购、销售等生产经营环节产生的关联交易行为。公司与控股股东、实际控制人及关联方有关的货币资金支付严格按照资金审批和支付流程进行管理。</w:t>
      </w:r>
    </w:p>
    <w:p w14:paraId="096D920D">
      <w:pPr>
        <w:tabs>
          <w:tab w:val="left" w:pos="975"/>
          <w:tab w:val="right" w:pos="9070"/>
        </w:tabs>
        <w:spacing w:line="360" w:lineRule="auto"/>
        <w:rPr>
          <w:rFonts w:hint="eastAsia" w:ascii="宋体" w:hAnsi="宋体" w:cs="Arial"/>
          <w:sz w:val="24"/>
        </w:rPr>
      </w:pPr>
    </w:p>
    <w:p w14:paraId="7D13AA09">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公司子公司与公司控股股东、实际控制人及关联方开展采购、销售等经营性关联交易事项时，必须签订有真实交易背景的经济合同。由于市场原因，致使已签订的合同无法如期执行的，应详细说明无法履行合同的实际情况，经合同双方协商后解除合同，作为已预付货款退回的依据。</w:t>
      </w:r>
    </w:p>
    <w:p w14:paraId="74676BD5">
      <w:pPr>
        <w:tabs>
          <w:tab w:val="left" w:pos="975"/>
          <w:tab w:val="right" w:pos="9070"/>
        </w:tabs>
        <w:spacing w:line="360" w:lineRule="auto"/>
        <w:rPr>
          <w:rFonts w:hint="eastAsia" w:ascii="宋体" w:hAnsi="宋体" w:cs="Arial"/>
          <w:sz w:val="24"/>
        </w:rPr>
      </w:pPr>
    </w:p>
    <w:p w14:paraId="4C7317C7">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公司财务部门每月对公司及下属子公司进行检查，上报与控股股东、实际控制人及关联方非经营性资金往来的审查情况，杜绝控股股东、实际控制人及关联方的非经营性占用资金的情况发生。</w:t>
      </w:r>
    </w:p>
    <w:p w14:paraId="3B36D64B">
      <w:pPr>
        <w:tabs>
          <w:tab w:val="left" w:pos="975"/>
          <w:tab w:val="right" w:pos="9070"/>
        </w:tabs>
        <w:spacing w:line="360" w:lineRule="auto"/>
        <w:rPr>
          <w:rFonts w:hint="eastAsia" w:ascii="宋体" w:hAnsi="宋体" w:cs="Arial"/>
          <w:sz w:val="24"/>
        </w:rPr>
      </w:pPr>
    </w:p>
    <w:p w14:paraId="29FC103F">
      <w:pPr>
        <w:numPr>
          <w:ilvl w:val="0"/>
          <w:numId w:val="2"/>
        </w:numPr>
        <w:tabs>
          <w:tab w:val="right" w:pos="9070"/>
        </w:tabs>
        <w:spacing w:line="360" w:lineRule="auto"/>
        <w:rPr>
          <w:rFonts w:ascii="宋体" w:hAnsi="宋体" w:cs="Arial"/>
          <w:sz w:val="24"/>
        </w:rPr>
      </w:pPr>
      <w:r>
        <w:rPr>
          <w:rFonts w:ascii="宋体" w:hAnsi="宋体" w:cs="Arial"/>
          <w:sz w:val="24"/>
        </w:rPr>
        <w:t xml:space="preserve"> </w:t>
      </w:r>
      <w:r>
        <w:rPr>
          <w:rFonts w:hint="eastAsia" w:ascii="宋体" w:hAnsi="宋体" w:cs="Arial"/>
          <w:sz w:val="24"/>
        </w:rPr>
        <w:t>审计部作为公司董事会对公司进行稽核监督机构，按照有利于事前、事中、事后监督的原则，负责对经营活动和内部控制执行情况的监督和检查，并对检查对象和内容进行评价，提出改进和处理意见，确保内部控制的贯彻实施和生产经营活动的正常进行。</w:t>
      </w:r>
    </w:p>
    <w:p w14:paraId="2C06F988">
      <w:pPr>
        <w:tabs>
          <w:tab w:val="left" w:pos="975"/>
          <w:tab w:val="right" w:pos="9070"/>
        </w:tabs>
        <w:spacing w:line="360" w:lineRule="auto"/>
        <w:rPr>
          <w:rFonts w:hint="eastAsia" w:ascii="宋体" w:hAnsi="宋体" w:cs="Arial"/>
          <w:sz w:val="24"/>
        </w:rPr>
      </w:pPr>
    </w:p>
    <w:p w14:paraId="347E0B96">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公司发生控股股东、实际控制人及关联方侵占公司资产、损害公司及社会公众股东利益情形时，公司董事会应采取有效措施要求停止侵害、赔偿损失，并立即发出书面通知，要求其制定详细的还款计划并按期履行，控股股东、实际控制人及其他关联方拒不纠正的，公司董事会应及时向当地证监局和证券交易所报告和公告，并对控股股东、实际控制人及其他关联方提起诉讼。因情况紧急，不立即申请财产保全将会使公司和股东的合法权益受到难以弥补的损害的，董事会还可以公司名义向人民法院申请对控股股东及其他关联方所侵占的公司资产及所持有的公司股份采取查封、扣押、冻结等强制措施。 </w:t>
      </w:r>
    </w:p>
    <w:p w14:paraId="768630DC">
      <w:pPr>
        <w:tabs>
          <w:tab w:val="left" w:pos="975"/>
          <w:tab w:val="right" w:pos="9070"/>
        </w:tabs>
        <w:spacing w:line="360" w:lineRule="auto"/>
        <w:rPr>
          <w:rFonts w:hint="eastAsia" w:ascii="宋体" w:hAnsi="宋体" w:cs="Arial"/>
          <w:sz w:val="24"/>
        </w:rPr>
      </w:pPr>
    </w:p>
    <w:p w14:paraId="5E4B6BD9">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公司被控股股东、实际控制人及其他关联方占用的资金，原则上应当以现金清偿。严格控制控股股东、实际控制人及其他关联方以非现金资产清偿占用的公司资金。</w:t>
      </w:r>
    </w:p>
    <w:p w14:paraId="3186F9B5">
      <w:pPr>
        <w:tabs>
          <w:tab w:val="right" w:pos="9070"/>
        </w:tabs>
        <w:spacing w:line="360" w:lineRule="auto"/>
        <w:ind w:left="975"/>
        <w:rPr>
          <w:rFonts w:ascii="宋体" w:hAnsi="宋体" w:cs="Arial"/>
          <w:sz w:val="24"/>
        </w:rPr>
      </w:pPr>
      <w:r>
        <w:rPr>
          <w:rFonts w:hint="eastAsia" w:ascii="宋体" w:hAnsi="宋体" w:cs="Arial"/>
          <w:sz w:val="24"/>
        </w:rPr>
        <w:t>控股股东、实际控制人及其他关联方拟用非现金资产清偿占用的公司资金，应当遵守以下规定：</w:t>
      </w:r>
    </w:p>
    <w:p w14:paraId="3694CCAD">
      <w:pPr>
        <w:tabs>
          <w:tab w:val="right" w:pos="9070"/>
        </w:tabs>
        <w:spacing w:line="360" w:lineRule="auto"/>
        <w:ind w:left="975"/>
        <w:rPr>
          <w:rFonts w:ascii="宋体" w:hAnsi="宋体" w:cs="Arial"/>
          <w:sz w:val="24"/>
        </w:rPr>
      </w:pPr>
    </w:p>
    <w:p w14:paraId="52B426CA">
      <w:pPr>
        <w:tabs>
          <w:tab w:val="left" w:pos="1080"/>
        </w:tabs>
        <w:spacing w:line="324" w:lineRule="auto"/>
        <w:ind w:left="1078"/>
        <w:rPr>
          <w:rFonts w:ascii="Arial" w:hAnsi="宋体" w:cs="Arial"/>
          <w:color w:val="000000"/>
          <w:kern w:val="0"/>
          <w:sz w:val="24"/>
        </w:rPr>
      </w:pPr>
      <w:r>
        <w:rPr>
          <w:rFonts w:hint="eastAsia" w:ascii="Arial" w:hAnsi="宋体" w:cs="Arial"/>
          <w:color w:val="000000"/>
          <w:kern w:val="0"/>
          <w:sz w:val="24"/>
        </w:rPr>
        <w:t>（一）用于抵偿的资产必须属于公司同一业务体系，并有利于增强公司独立性和核心竞争力，减少关联交易，不得是尚未投入使用的资产或者没有客观明确账面净值的资产；</w:t>
      </w:r>
      <w:r>
        <w:rPr>
          <w:rFonts w:ascii="Arial" w:hAnsi="宋体" w:cs="Arial"/>
          <w:color w:val="000000"/>
          <w:kern w:val="0"/>
          <w:sz w:val="24"/>
        </w:rPr>
        <w:t xml:space="preserve"> </w:t>
      </w:r>
    </w:p>
    <w:p w14:paraId="16A088C1">
      <w:pPr>
        <w:tabs>
          <w:tab w:val="left" w:pos="1080"/>
        </w:tabs>
        <w:spacing w:line="324" w:lineRule="auto"/>
        <w:ind w:left="1078"/>
        <w:rPr>
          <w:rFonts w:ascii="Arial" w:hAnsi="Arial" w:cs="Arial"/>
          <w:color w:val="000000"/>
          <w:kern w:val="0"/>
          <w:sz w:val="24"/>
        </w:rPr>
      </w:pPr>
      <w:r>
        <w:rPr>
          <w:rFonts w:hint="eastAsia" w:ascii="Arial" w:hAnsi="Arial" w:cs="Arial"/>
          <w:color w:val="000000"/>
          <w:kern w:val="0"/>
          <w:sz w:val="24"/>
        </w:rPr>
        <w:t>（二）公司应当聘请符合《证券法》规定的中介机构对符合以资抵债条件的资产进行评估，以资产评估值或者经审计的账面净值作为以资抵债的定价基础，但最终定价不得损害公司利益，并充分考虑所占用资金的现值予以折扣。审计报告和评估报告应当向社会公告；</w:t>
      </w:r>
    </w:p>
    <w:p w14:paraId="10963B14">
      <w:pPr>
        <w:tabs>
          <w:tab w:val="left" w:pos="1080"/>
        </w:tabs>
        <w:spacing w:line="324" w:lineRule="auto"/>
        <w:ind w:left="1078"/>
        <w:rPr>
          <w:rFonts w:ascii="Arial" w:hAnsi="Arial" w:cs="Arial"/>
          <w:color w:val="000000"/>
          <w:kern w:val="0"/>
          <w:sz w:val="24"/>
        </w:rPr>
      </w:pPr>
      <w:r>
        <w:rPr>
          <w:rFonts w:hint="eastAsia" w:ascii="Arial" w:hAnsi="Arial" w:cs="Arial"/>
          <w:color w:val="000000"/>
          <w:kern w:val="0"/>
          <w:sz w:val="24"/>
        </w:rPr>
        <w:t>（三）独立董事应当就公司关联方以资抵债方案发表独立意见，或者聘请符合《证券法》规定的中介机构出具独立财务顾问报告；</w:t>
      </w:r>
    </w:p>
    <w:p w14:paraId="6B9B27A2">
      <w:pPr>
        <w:tabs>
          <w:tab w:val="left" w:pos="1080"/>
        </w:tabs>
        <w:spacing w:line="324" w:lineRule="auto"/>
        <w:ind w:left="1078"/>
        <w:rPr>
          <w:rFonts w:ascii="Arial" w:hAnsi="Arial" w:cs="Arial"/>
          <w:color w:val="000000"/>
          <w:kern w:val="0"/>
          <w:sz w:val="24"/>
        </w:rPr>
      </w:pPr>
      <w:r>
        <w:rPr>
          <w:rFonts w:hint="eastAsia" w:ascii="Arial" w:hAnsi="Arial" w:cs="Arial"/>
          <w:color w:val="000000"/>
          <w:kern w:val="0"/>
          <w:sz w:val="24"/>
        </w:rPr>
        <w:t>（四）公司关联方以资抵债方案须经股东会审议批准，关联方股东应当回避投票。</w:t>
      </w:r>
    </w:p>
    <w:p w14:paraId="0D03554D">
      <w:pPr>
        <w:tabs>
          <w:tab w:val="right" w:pos="9070"/>
        </w:tabs>
        <w:spacing w:line="360" w:lineRule="auto"/>
        <w:ind w:left="975"/>
        <w:rPr>
          <w:rFonts w:ascii="宋体" w:hAnsi="宋体" w:cs="Arial"/>
          <w:sz w:val="24"/>
        </w:rPr>
      </w:pPr>
    </w:p>
    <w:p w14:paraId="02CBBDCE">
      <w:pPr>
        <w:numPr>
          <w:ilvl w:val="0"/>
          <w:numId w:val="2"/>
        </w:numPr>
        <w:tabs>
          <w:tab w:val="right" w:pos="9070"/>
        </w:tabs>
        <w:spacing w:line="360" w:lineRule="auto"/>
        <w:rPr>
          <w:rFonts w:ascii="宋体" w:hAnsi="宋体" w:cs="Arial"/>
          <w:sz w:val="24"/>
        </w:rPr>
      </w:pPr>
      <w:r>
        <w:rPr>
          <w:rFonts w:hint="eastAsia" w:ascii="宋体" w:hAnsi="宋体" w:cs="Arial"/>
          <w:sz w:val="24"/>
        </w:rPr>
        <w:t xml:space="preserve"> 发生资金占用情形，公司应依法制定清欠方案，依法及时按照要求向证券监管部门和深圳证券交易所报告和公告。</w:t>
      </w:r>
    </w:p>
    <w:p w14:paraId="62A05B7E">
      <w:pPr>
        <w:spacing w:line="360" w:lineRule="auto"/>
        <w:rPr>
          <w:rFonts w:ascii="宋体" w:hAnsi="宋体" w:cs="Arial"/>
          <w:sz w:val="24"/>
        </w:rPr>
      </w:pPr>
    </w:p>
    <w:p w14:paraId="509F30CA">
      <w:pPr>
        <w:numPr>
          <w:ilvl w:val="0"/>
          <w:numId w:val="1"/>
        </w:numPr>
        <w:tabs>
          <w:tab w:val="right" w:pos="9070"/>
        </w:tabs>
        <w:spacing w:line="360" w:lineRule="auto"/>
        <w:jc w:val="center"/>
        <w:rPr>
          <w:rFonts w:ascii="宋体" w:hAnsi="宋体" w:cs="Arial"/>
          <w:b/>
          <w:sz w:val="24"/>
        </w:rPr>
      </w:pPr>
      <w:r>
        <w:rPr>
          <w:rFonts w:hint="eastAsia" w:ascii="宋体" w:hAnsi="宋体" w:cs="Arial"/>
          <w:b/>
          <w:sz w:val="24"/>
        </w:rPr>
        <w:t>责任追究及处罚</w:t>
      </w:r>
    </w:p>
    <w:p w14:paraId="24037B3B">
      <w:pPr>
        <w:tabs>
          <w:tab w:val="left" w:pos="840"/>
          <w:tab w:val="right" w:pos="9070"/>
        </w:tabs>
        <w:spacing w:line="360" w:lineRule="auto"/>
        <w:ind w:left="840"/>
        <w:rPr>
          <w:rFonts w:hint="eastAsia" w:ascii="宋体" w:hAnsi="宋体" w:cs="Arial"/>
          <w:b/>
          <w:sz w:val="24"/>
        </w:rPr>
      </w:pPr>
    </w:p>
    <w:p w14:paraId="1E1CAB09">
      <w:pPr>
        <w:numPr>
          <w:ilvl w:val="0"/>
          <w:numId w:val="2"/>
        </w:numPr>
        <w:spacing w:line="360" w:lineRule="auto"/>
        <w:rPr>
          <w:rFonts w:ascii="宋体" w:hAnsi="宋体" w:cs="Arial"/>
          <w:sz w:val="24"/>
        </w:rPr>
      </w:pPr>
      <w:r>
        <w:rPr>
          <w:rFonts w:hint="eastAsia" w:ascii="宋体" w:hAnsi="宋体" w:cs="Arial"/>
          <w:sz w:val="24"/>
        </w:rPr>
        <w:t xml:space="preserve"> 公司或所属子公司与控股股东及关联方发生非经营性资金占用情况，给公司造成不良影响的，公司将对相关责任人给予行政及经济处分。</w:t>
      </w:r>
    </w:p>
    <w:p w14:paraId="57C5A698">
      <w:pPr>
        <w:tabs>
          <w:tab w:val="left" w:pos="975"/>
        </w:tabs>
        <w:spacing w:line="360" w:lineRule="auto"/>
        <w:ind w:left="975"/>
        <w:rPr>
          <w:rFonts w:hint="eastAsia" w:ascii="宋体" w:hAnsi="宋体" w:cs="Arial"/>
          <w:sz w:val="24"/>
        </w:rPr>
      </w:pPr>
    </w:p>
    <w:p w14:paraId="7DB0B186">
      <w:pPr>
        <w:numPr>
          <w:ilvl w:val="0"/>
          <w:numId w:val="2"/>
        </w:numPr>
        <w:spacing w:line="360" w:lineRule="auto"/>
        <w:rPr>
          <w:rFonts w:ascii="宋体" w:hAnsi="宋体" w:cs="Arial"/>
          <w:sz w:val="24"/>
        </w:rPr>
      </w:pPr>
      <w:r>
        <w:rPr>
          <w:rFonts w:hint="eastAsia" w:ascii="宋体" w:hAnsi="宋体" w:cs="Arial"/>
          <w:sz w:val="24"/>
        </w:rPr>
        <w:t xml:space="preserve"> 公司或所属子公司违反本办法而发生的控股股东及关联方非经营性占用资金等现象，给投资者造成损失的，公司除对相关的责任人给予行政及经济处分外，追究相关责任人的法律责任。</w:t>
      </w:r>
    </w:p>
    <w:p w14:paraId="1194A82B">
      <w:pPr>
        <w:spacing w:line="360" w:lineRule="auto"/>
        <w:rPr>
          <w:rFonts w:ascii="宋体" w:hAnsi="宋体" w:cs="Arial"/>
          <w:sz w:val="24"/>
        </w:rPr>
      </w:pPr>
    </w:p>
    <w:p w14:paraId="695E2365">
      <w:pPr>
        <w:numPr>
          <w:ilvl w:val="0"/>
          <w:numId w:val="1"/>
        </w:numPr>
        <w:tabs>
          <w:tab w:val="right" w:pos="9070"/>
        </w:tabs>
        <w:spacing w:line="360" w:lineRule="auto"/>
        <w:jc w:val="center"/>
        <w:rPr>
          <w:rFonts w:ascii="宋体" w:hAnsi="宋体" w:cs="Arial"/>
          <w:b/>
          <w:sz w:val="24"/>
        </w:rPr>
      </w:pPr>
      <w:r>
        <w:rPr>
          <w:rFonts w:hint="eastAsia" w:ascii="宋体" w:hAnsi="宋体" w:cs="Arial"/>
          <w:b/>
          <w:sz w:val="24"/>
        </w:rPr>
        <w:t>附  则</w:t>
      </w:r>
    </w:p>
    <w:p w14:paraId="47AC86B6">
      <w:pPr>
        <w:tabs>
          <w:tab w:val="left" w:pos="840"/>
          <w:tab w:val="right" w:pos="9070"/>
        </w:tabs>
        <w:spacing w:line="360" w:lineRule="auto"/>
        <w:ind w:left="840"/>
        <w:rPr>
          <w:rFonts w:hint="eastAsia" w:ascii="宋体" w:hAnsi="宋体" w:cs="Arial"/>
          <w:b/>
          <w:sz w:val="24"/>
        </w:rPr>
      </w:pPr>
    </w:p>
    <w:p w14:paraId="23C68A91">
      <w:pPr>
        <w:numPr>
          <w:ilvl w:val="0"/>
          <w:numId w:val="2"/>
        </w:numPr>
        <w:spacing w:line="360" w:lineRule="auto"/>
        <w:rPr>
          <w:rFonts w:ascii="宋体" w:hAnsi="宋体" w:cs="Arial"/>
          <w:sz w:val="24"/>
        </w:rPr>
      </w:pPr>
      <w:r>
        <w:rPr>
          <w:rFonts w:hint="eastAsia" w:ascii="宋体" w:hAnsi="宋体" w:cs="Arial"/>
          <w:sz w:val="24"/>
        </w:rPr>
        <w:t xml:space="preserve"> 本制度未作规定的，适用有关法律、法规、规范性文件和《公司章程》的规定。</w:t>
      </w:r>
    </w:p>
    <w:p w14:paraId="6095E1F3">
      <w:pPr>
        <w:tabs>
          <w:tab w:val="left" w:pos="975"/>
        </w:tabs>
        <w:spacing w:line="360" w:lineRule="auto"/>
        <w:ind w:left="975"/>
        <w:rPr>
          <w:rFonts w:hint="eastAsia" w:ascii="宋体" w:hAnsi="宋体" w:cs="Arial"/>
          <w:sz w:val="24"/>
        </w:rPr>
      </w:pPr>
    </w:p>
    <w:p w14:paraId="50AA8122">
      <w:pPr>
        <w:numPr>
          <w:ilvl w:val="0"/>
          <w:numId w:val="2"/>
        </w:numPr>
        <w:spacing w:line="360" w:lineRule="auto"/>
        <w:rPr>
          <w:rFonts w:ascii="宋体" w:hAnsi="宋体" w:cs="Arial"/>
          <w:sz w:val="24"/>
        </w:rPr>
      </w:pPr>
      <w:r>
        <w:rPr>
          <w:rFonts w:hint="eastAsia" w:ascii="宋体" w:hAnsi="宋体" w:cs="Arial"/>
          <w:sz w:val="24"/>
        </w:rPr>
        <w:t xml:space="preserve"> 在有关法律、法规、规范性文件或《深圳证券交易所股票上市规则》等规定及《公司章程》作出修改时，将自动按修改后的上述法律、法规等相关强制性规范执行，公司应及时对本制度进行修订。</w:t>
      </w:r>
    </w:p>
    <w:p w14:paraId="5983FAFA">
      <w:pPr>
        <w:tabs>
          <w:tab w:val="left" w:pos="975"/>
        </w:tabs>
        <w:spacing w:line="360" w:lineRule="auto"/>
        <w:rPr>
          <w:rFonts w:hint="eastAsia" w:ascii="宋体" w:hAnsi="宋体" w:cs="Arial"/>
          <w:sz w:val="24"/>
        </w:rPr>
      </w:pPr>
    </w:p>
    <w:p w14:paraId="58B62045">
      <w:pPr>
        <w:numPr>
          <w:ilvl w:val="0"/>
          <w:numId w:val="2"/>
        </w:numPr>
        <w:spacing w:line="360" w:lineRule="auto"/>
        <w:rPr>
          <w:rFonts w:ascii="宋体" w:hAnsi="宋体" w:cs="Arial"/>
          <w:sz w:val="24"/>
        </w:rPr>
      </w:pPr>
      <w:r>
        <w:rPr>
          <w:rFonts w:hint="eastAsia" w:ascii="宋体" w:hAnsi="宋体" w:cs="Arial"/>
          <w:sz w:val="24"/>
        </w:rPr>
        <w:t xml:space="preserve"> 本制度经公司董事会审议批准</w:t>
      </w:r>
      <w:r>
        <w:rPr>
          <w:rFonts w:ascii="宋体" w:hAnsi="宋体" w:cs="Arial"/>
          <w:sz w:val="24"/>
        </w:rPr>
        <w:t>后</w:t>
      </w:r>
      <w:r>
        <w:rPr>
          <w:rFonts w:hint="eastAsia" w:ascii="宋体" w:hAnsi="宋体" w:cs="Arial"/>
          <w:sz w:val="24"/>
        </w:rPr>
        <w:t>生效执行，由董事会负责解释。</w:t>
      </w:r>
    </w:p>
    <w:p w14:paraId="5F0D6ECB">
      <w:pPr>
        <w:spacing w:line="360" w:lineRule="auto"/>
        <w:rPr>
          <w:rFonts w:ascii="宋体" w:hAnsi="宋体" w:cs="Arial"/>
          <w:sz w:val="24"/>
        </w:rPr>
      </w:pPr>
    </w:p>
    <w:p w14:paraId="419FA7FF">
      <w:pPr>
        <w:tabs>
          <w:tab w:val="right" w:pos="9070"/>
        </w:tabs>
        <w:spacing w:line="360" w:lineRule="auto"/>
        <w:jc w:val="center"/>
      </w:pPr>
    </w:p>
    <w:sectPr>
      <w:headerReference r:id="rId3" w:type="default"/>
      <w:footerReference r:id="rId4" w:type="default"/>
      <w:footerReference r:id="rId5" w:type="even"/>
      <w:pgSz w:w="11906" w:h="16838"/>
      <w:pgMar w:top="1265" w:right="1800" w:bottom="1440" w:left="1800" w:header="623"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E4592">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5AE68">
                          <w:pPr>
                            <w:pStyle w:val="4"/>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5C5AE68">
                    <w:pPr>
                      <w:pStyle w:val="4"/>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BABAC">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4D9AC5F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3568E">
    <w:pPr>
      <w:pStyle w:val="5"/>
      <w:jc w:val="both"/>
    </w:pPr>
    <w:r>
      <w:drawing>
        <wp:anchor distT="0" distB="0" distL="114300" distR="114300" simplePos="0" relativeHeight="251659264" behindDoc="0" locked="0" layoutInCell="1" allowOverlap="1">
          <wp:simplePos x="0" y="0"/>
          <wp:positionH relativeFrom="column">
            <wp:posOffset>-342900</wp:posOffset>
          </wp:positionH>
          <wp:positionV relativeFrom="paragraph">
            <wp:posOffset>82550</wp:posOffset>
          </wp:positionV>
          <wp:extent cx="340360" cy="3714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40360" cy="371475"/>
                  </a:xfrm>
                  <a:prstGeom prst="rect">
                    <a:avLst/>
                  </a:prstGeom>
                  <a:noFill/>
                  <a:ln>
                    <a:noFill/>
                  </a:ln>
                </pic:spPr>
              </pic:pic>
            </a:graphicData>
          </a:graphic>
        </wp:anchor>
      </w:drawing>
    </w:r>
  </w:p>
  <w:p w14:paraId="6847F23B">
    <w:pPr>
      <w:pStyle w:val="5"/>
      <w:jc w:val="both"/>
    </w:pPr>
  </w:p>
  <w:p w14:paraId="1A2C0DF3">
    <w:pPr>
      <w:pStyle w:val="5"/>
    </w:pPr>
    <w:r>
      <w:rPr>
        <w:rFonts w:hint="eastAsia"/>
      </w:rPr>
      <w:t>永兴特种材料科技股份有限公司关于防范控股股东、实际控制人及关联方占用上市公司资金的管理办法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547B2"/>
    <w:multiLevelType w:val="multilevel"/>
    <w:tmpl w:val="377547B2"/>
    <w:lvl w:ilvl="0" w:tentative="0">
      <w:start w:val="1"/>
      <w:numFmt w:val="japaneseCounting"/>
      <w:lvlText w:val="第%1章"/>
      <w:lvlJc w:val="left"/>
      <w:pPr>
        <w:tabs>
          <w:tab w:val="left" w:pos="840"/>
        </w:tabs>
        <w:ind w:left="840" w:hanging="84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5C17C50"/>
    <w:multiLevelType w:val="multilevel"/>
    <w:tmpl w:val="65C17C50"/>
    <w:lvl w:ilvl="0" w:tentative="0">
      <w:start w:val="1"/>
      <w:numFmt w:val="japaneseCounting"/>
      <w:lvlText w:val="第%1条"/>
      <w:lvlJc w:val="left"/>
      <w:pPr>
        <w:tabs>
          <w:tab w:val="left" w:pos="975"/>
        </w:tabs>
        <w:ind w:left="975" w:hanging="975"/>
      </w:pPr>
      <w:rPr>
        <w:rFonts w:hint="default"/>
      </w:rPr>
    </w:lvl>
    <w:lvl w:ilvl="1" w:tentative="0">
      <w:start w:val="1"/>
      <w:numFmt w:val="japaneseCounting"/>
      <w:lvlText w:val="（%2）"/>
      <w:lvlJc w:val="left"/>
      <w:pPr>
        <w:tabs>
          <w:tab w:val="left" w:pos="1800"/>
        </w:tabs>
        <w:ind w:left="1800" w:hanging="720"/>
      </w:pPr>
      <w:rPr>
        <w:rFonts w:hint="default"/>
        <w:lang w:val="en-U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4A0"/>
    <w:rsid w:val="0005648F"/>
    <w:rsid w:val="00072808"/>
    <w:rsid w:val="0009650A"/>
    <w:rsid w:val="000A19B6"/>
    <w:rsid w:val="000B1DCA"/>
    <w:rsid w:val="000D5F4D"/>
    <w:rsid w:val="00122D8D"/>
    <w:rsid w:val="00177FA2"/>
    <w:rsid w:val="00224CA5"/>
    <w:rsid w:val="002A0B7F"/>
    <w:rsid w:val="002B4FF9"/>
    <w:rsid w:val="002F0F37"/>
    <w:rsid w:val="00377BBE"/>
    <w:rsid w:val="003847AC"/>
    <w:rsid w:val="003B4E74"/>
    <w:rsid w:val="00402FA6"/>
    <w:rsid w:val="00405031"/>
    <w:rsid w:val="004079DE"/>
    <w:rsid w:val="004A7AF7"/>
    <w:rsid w:val="004C0FCB"/>
    <w:rsid w:val="00513D0B"/>
    <w:rsid w:val="00532374"/>
    <w:rsid w:val="00547A9C"/>
    <w:rsid w:val="005830B4"/>
    <w:rsid w:val="005833F1"/>
    <w:rsid w:val="005D650F"/>
    <w:rsid w:val="00644492"/>
    <w:rsid w:val="00662C7B"/>
    <w:rsid w:val="006E2776"/>
    <w:rsid w:val="007105D6"/>
    <w:rsid w:val="00726B79"/>
    <w:rsid w:val="00772FD4"/>
    <w:rsid w:val="007D366B"/>
    <w:rsid w:val="007F6A58"/>
    <w:rsid w:val="008667B9"/>
    <w:rsid w:val="0089616D"/>
    <w:rsid w:val="008D695E"/>
    <w:rsid w:val="008F24A9"/>
    <w:rsid w:val="008F53B4"/>
    <w:rsid w:val="0092506E"/>
    <w:rsid w:val="009A5B77"/>
    <w:rsid w:val="00A8118E"/>
    <w:rsid w:val="00AB1416"/>
    <w:rsid w:val="00AF5BB3"/>
    <w:rsid w:val="00B44BBE"/>
    <w:rsid w:val="00B47F0C"/>
    <w:rsid w:val="00BD38A9"/>
    <w:rsid w:val="00BF7AEE"/>
    <w:rsid w:val="00C273AE"/>
    <w:rsid w:val="00C34EB8"/>
    <w:rsid w:val="00CC1BBA"/>
    <w:rsid w:val="00CC24A0"/>
    <w:rsid w:val="00CC6A38"/>
    <w:rsid w:val="00CE5085"/>
    <w:rsid w:val="00D02DCD"/>
    <w:rsid w:val="00D2131D"/>
    <w:rsid w:val="00D22F55"/>
    <w:rsid w:val="00D3581B"/>
    <w:rsid w:val="00D41642"/>
    <w:rsid w:val="00D4197C"/>
    <w:rsid w:val="00D6764C"/>
    <w:rsid w:val="00DB1635"/>
    <w:rsid w:val="00E026F7"/>
    <w:rsid w:val="00E226F9"/>
    <w:rsid w:val="00E62A93"/>
    <w:rsid w:val="00E67BDE"/>
    <w:rsid w:val="00E90ACA"/>
    <w:rsid w:val="00F33FB4"/>
    <w:rsid w:val="00F443EE"/>
    <w:rsid w:val="00F83E48"/>
    <w:rsid w:val="00FA1189"/>
    <w:rsid w:val="00FB01FD"/>
    <w:rsid w:val="00FB4D12"/>
    <w:rsid w:val="0665752D"/>
    <w:rsid w:val="15A42779"/>
    <w:rsid w:val="4172666D"/>
    <w:rsid w:val="48BF1616"/>
    <w:rsid w:val="4B182448"/>
    <w:rsid w:val="586131BB"/>
    <w:rsid w:val="5EA9752D"/>
    <w:rsid w:val="5EF50541"/>
    <w:rsid w:val="77D1651E"/>
    <w:rsid w:val="7B727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semiHidden/>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qFormat/>
    <w:uiPriority w:val="0"/>
    <w:pPr>
      <w:tabs>
        <w:tab w:val="right" w:leader="dot" w:pos="8296"/>
      </w:tabs>
      <w:jc w:val="left"/>
    </w:pPr>
    <w:rPr>
      <w:rFonts w:ascii="黑体" w:hAnsi="黑体" w:eastAsia="黑体"/>
      <w:sz w:val="28"/>
    </w:rPr>
  </w:style>
  <w:style w:type="paragraph" w:styleId="7">
    <w:name w:val="annotation subject"/>
    <w:basedOn w:val="2"/>
    <w:next w:val="2"/>
    <w:link w:val="15"/>
    <w:qFormat/>
    <w:uiPriority w:val="0"/>
    <w:rPr>
      <w:b/>
      <w:bCs/>
    </w:rPr>
  </w:style>
  <w:style w:type="character" w:styleId="10">
    <w:name w:val="page number"/>
    <w:qFormat/>
    <w:uiPriority w:val="0"/>
  </w:style>
  <w:style w:type="character" w:styleId="11">
    <w:name w:val="annotation reference"/>
    <w:qFormat/>
    <w:uiPriority w:val="0"/>
    <w:rPr>
      <w:sz w:val="21"/>
      <w:szCs w:val="21"/>
    </w:rPr>
  </w:style>
  <w:style w:type="character" w:customStyle="1" w:styleId="12">
    <w:name w:val="批注文字 字符"/>
    <w:link w:val="2"/>
    <w:qFormat/>
    <w:uiPriority w:val="0"/>
    <w:rPr>
      <w:kern w:val="2"/>
      <w:sz w:val="21"/>
      <w:szCs w:val="24"/>
    </w:rPr>
  </w:style>
  <w:style w:type="character" w:customStyle="1" w:styleId="13">
    <w:name w:val="页脚 字符"/>
    <w:link w:val="4"/>
    <w:qFormat/>
    <w:uiPriority w:val="0"/>
    <w:rPr>
      <w:kern w:val="2"/>
      <w:sz w:val="18"/>
      <w:szCs w:val="18"/>
    </w:rPr>
  </w:style>
  <w:style w:type="character" w:customStyle="1" w:styleId="14">
    <w:name w:val="页眉 字符"/>
    <w:link w:val="5"/>
    <w:qFormat/>
    <w:uiPriority w:val="0"/>
    <w:rPr>
      <w:kern w:val="2"/>
      <w:sz w:val="18"/>
      <w:szCs w:val="18"/>
    </w:rPr>
  </w:style>
  <w:style w:type="character" w:customStyle="1" w:styleId="15">
    <w:name w:val="批注主题 字符"/>
    <w:link w:val="7"/>
    <w:qFormat/>
    <w:uiPriority w:val="0"/>
    <w:rPr>
      <w:b/>
      <w:bCs/>
      <w:kern w:val="2"/>
      <w:sz w:val="21"/>
      <w:szCs w:val="24"/>
    </w:rPr>
  </w:style>
  <w:style w:type="paragraph" w:customStyle="1" w:styleId="16">
    <w:name w:val="Char Char Char"/>
    <w:basedOn w:val="1"/>
    <w:qFormat/>
    <w:uiPriority w:val="0"/>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5</Pages>
  <Words>2888</Words>
  <Characters>2896</Characters>
  <Lines>21</Lines>
  <Paragraphs>5</Paragraphs>
  <TotalTime>16</TotalTime>
  <ScaleCrop>false</ScaleCrop>
  <LinksUpToDate>false</LinksUpToDate>
  <CharactersWithSpaces>2914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2016-04-14T02:49:00Z</dcterms:created>
  <dc:creator>xvf</dc:creator>
  <cp:lastModifiedBy>lln</cp:lastModifiedBy>
  <dcterms:modified xsi:type="dcterms:W3CDTF">2025-09-03T01:06:13Z</dcterms:modified>
  <dc:title>永兴特种不锈钢股份有限公司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C5F1FCDE9F12441B89BA17E9EA466D61_13</vt:lpwstr>
  </property>
</Properties>
</file>