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25959">
      <w:pPr>
        <w:spacing w:line="360" w:lineRule="auto"/>
        <w:jc w:val="center"/>
        <w:rPr>
          <w:rFonts w:ascii="Arial" w:hAnsi="Arial" w:eastAsia="黑体" w:cs="Arial"/>
          <w:b/>
          <w:sz w:val="32"/>
          <w:szCs w:val="32"/>
        </w:rPr>
      </w:pPr>
    </w:p>
    <w:p w14:paraId="140D4BA0">
      <w:pPr>
        <w:spacing w:line="360" w:lineRule="auto"/>
        <w:jc w:val="center"/>
        <w:rPr>
          <w:rFonts w:ascii="宋体" w:hAnsi="宋体" w:cs="Arial"/>
          <w:b/>
          <w:sz w:val="32"/>
          <w:szCs w:val="32"/>
        </w:rPr>
      </w:pPr>
      <w:r>
        <w:rPr>
          <w:rFonts w:ascii="宋体" w:hAnsi="宋体" w:cs="Arial"/>
          <w:b/>
          <w:sz w:val="32"/>
          <w:szCs w:val="32"/>
        </w:rPr>
        <w:t>永兴特种材料科技股份有限公司</w:t>
      </w:r>
    </w:p>
    <w:p w14:paraId="56B16FA8">
      <w:pPr>
        <w:spacing w:line="360" w:lineRule="auto"/>
        <w:jc w:val="center"/>
        <w:rPr>
          <w:rFonts w:ascii="宋体" w:hAnsi="宋体" w:cs="Arial"/>
          <w:b/>
          <w:sz w:val="32"/>
          <w:szCs w:val="32"/>
        </w:rPr>
      </w:pPr>
      <w:r>
        <w:rPr>
          <w:rFonts w:hint="eastAsia" w:ascii="宋体" w:hAnsi="宋体" w:cs="Arial"/>
          <w:b/>
          <w:sz w:val="32"/>
          <w:szCs w:val="32"/>
        </w:rPr>
        <w:t>投资者关系管理制度</w:t>
      </w:r>
    </w:p>
    <w:p w14:paraId="4998BA5F">
      <w:pPr>
        <w:spacing w:line="360" w:lineRule="auto"/>
        <w:jc w:val="center"/>
        <w:rPr>
          <w:rFonts w:ascii="Arial" w:hAnsi="Arial" w:eastAsia="黑体" w:cs="Arial"/>
          <w:b/>
          <w:sz w:val="32"/>
          <w:szCs w:val="32"/>
        </w:rPr>
      </w:pPr>
    </w:p>
    <w:p w14:paraId="24F981AA">
      <w:pPr>
        <w:numPr>
          <w:ilvl w:val="0"/>
          <w:numId w:val="1"/>
        </w:numPr>
        <w:spacing w:line="312" w:lineRule="auto"/>
        <w:jc w:val="center"/>
        <w:rPr>
          <w:rFonts w:ascii="宋体" w:hAnsi="宋体" w:cs="Arial"/>
          <w:b/>
          <w:bCs/>
          <w:color w:val="000000"/>
          <w:sz w:val="24"/>
        </w:rPr>
      </w:pPr>
      <w:r>
        <w:rPr>
          <w:rFonts w:hint="eastAsia" w:ascii="宋体" w:hAnsi="宋体" w:cs="Arial"/>
          <w:b/>
          <w:bCs/>
          <w:color w:val="000000"/>
          <w:sz w:val="24"/>
        </w:rPr>
        <w:t>总则</w:t>
      </w:r>
    </w:p>
    <w:p w14:paraId="7D960C95">
      <w:pPr>
        <w:spacing w:line="312" w:lineRule="auto"/>
        <w:jc w:val="center"/>
        <w:rPr>
          <w:rFonts w:ascii="宋体" w:hAnsi="宋体" w:cs="Arial"/>
          <w:color w:val="000000"/>
          <w:sz w:val="24"/>
        </w:rPr>
      </w:pPr>
    </w:p>
    <w:p w14:paraId="4C01B5E3">
      <w:pPr>
        <w:spacing w:line="312" w:lineRule="auto"/>
        <w:ind w:left="1260" w:hanging="1260"/>
        <w:rPr>
          <w:rFonts w:ascii="宋体" w:hAnsi="宋体" w:cs="Arial"/>
          <w:sz w:val="24"/>
        </w:rPr>
      </w:pPr>
      <w:r>
        <w:rPr>
          <w:rFonts w:ascii="宋体" w:hAnsi="宋体" w:cs="Arial"/>
          <w:bCs/>
          <w:sz w:val="24"/>
        </w:rPr>
        <w:t>第一条</w:t>
      </w:r>
      <w:r>
        <w:rPr>
          <w:rFonts w:ascii="宋体" w:hAnsi="宋体" w:cs="Arial"/>
          <w:b/>
          <w:bCs/>
          <w:sz w:val="24"/>
        </w:rPr>
        <w:tab/>
      </w:r>
      <w:r>
        <w:rPr>
          <w:rFonts w:ascii="宋体" w:hAnsi="宋体" w:cs="Arial"/>
          <w:sz w:val="24"/>
        </w:rPr>
        <w:t>为切实加强</w:t>
      </w:r>
      <w:r>
        <w:rPr>
          <w:rFonts w:hint="eastAsia" w:ascii="宋体" w:hAnsi="宋体" w:cs="Arial"/>
          <w:sz w:val="24"/>
        </w:rPr>
        <w:t>永兴特种材料科技股份有限公司(</w:t>
      </w:r>
      <w:r>
        <w:rPr>
          <w:rFonts w:ascii="宋体" w:hAnsi="宋体" w:cs="Arial"/>
          <w:sz w:val="24"/>
        </w:rPr>
        <w:t>以下简称</w:t>
      </w:r>
      <w:r>
        <w:rPr>
          <w:rFonts w:hint="eastAsia" w:ascii="宋体" w:hAnsi="宋体" w:cs="Arial"/>
          <w:sz w:val="24"/>
        </w:rPr>
        <w:t>“</w:t>
      </w:r>
      <w:r>
        <w:rPr>
          <w:rFonts w:ascii="宋体" w:hAnsi="宋体" w:cs="Arial"/>
          <w:sz w:val="24"/>
        </w:rPr>
        <w:t>公司”</w:t>
      </w:r>
      <w:r>
        <w:rPr>
          <w:rFonts w:hint="eastAsia" w:ascii="宋体" w:hAnsi="宋体" w:cs="Arial"/>
          <w:sz w:val="24"/>
        </w:rPr>
        <w:t>)</w:t>
      </w:r>
      <w:r>
        <w:rPr>
          <w:rFonts w:ascii="宋体" w:hAnsi="宋体" w:cs="Arial"/>
          <w:sz w:val="24"/>
        </w:rPr>
        <w:t>与投资者之间的信息沟通</w:t>
      </w:r>
      <w:r>
        <w:rPr>
          <w:rFonts w:hint="eastAsia" w:ascii="宋体" w:hAnsi="宋体" w:cs="Arial"/>
          <w:sz w:val="24"/>
        </w:rPr>
        <w:t xml:space="preserve">, </w:t>
      </w:r>
      <w:r>
        <w:rPr>
          <w:rFonts w:ascii="宋体" w:hAnsi="宋体" w:cs="Arial"/>
          <w:sz w:val="24"/>
        </w:rPr>
        <w:t>完善公司治理结构</w:t>
      </w:r>
      <w:r>
        <w:rPr>
          <w:rFonts w:hint="eastAsia" w:ascii="宋体" w:hAnsi="宋体" w:cs="Arial"/>
          <w:sz w:val="24"/>
        </w:rPr>
        <w:t xml:space="preserve">, </w:t>
      </w:r>
      <w:r>
        <w:rPr>
          <w:rFonts w:ascii="宋体" w:hAnsi="宋体" w:cs="Arial"/>
          <w:sz w:val="24"/>
        </w:rPr>
        <w:t>切实保护投资者特别是社会公众投资者的合法权益,</w:t>
      </w:r>
      <w:r>
        <w:rPr>
          <w:rFonts w:hint="eastAsia" w:ascii="宋体" w:hAnsi="宋体" w:cs="Arial"/>
          <w:sz w:val="24"/>
        </w:rPr>
        <w:t xml:space="preserve"> 公司</w:t>
      </w:r>
      <w:r>
        <w:rPr>
          <w:rFonts w:ascii="宋体" w:hAnsi="宋体" w:cs="Arial"/>
          <w:sz w:val="24"/>
        </w:rPr>
        <w:t>根据《中华人民共和国公司法》、《中华人民共和国证券法》</w:t>
      </w:r>
      <w:r>
        <w:rPr>
          <w:rFonts w:hint="eastAsia" w:ascii="宋体" w:hAnsi="宋体" w:cs="Arial"/>
          <w:sz w:val="24"/>
        </w:rPr>
        <w:t>、《上市公司投资者关系管理工作指引》、《深圳证券交易所上市公司自律监管指引第1号——主板上市公司规范运作》</w:t>
      </w:r>
      <w:r>
        <w:rPr>
          <w:rFonts w:ascii="宋体" w:hAnsi="宋体" w:cs="Arial"/>
          <w:sz w:val="24"/>
        </w:rPr>
        <w:t>及其他有关法律、法规, 制定本</w:t>
      </w:r>
      <w:r>
        <w:rPr>
          <w:rFonts w:hint="eastAsia" w:ascii="宋体" w:hAnsi="宋体" w:cs="Arial"/>
          <w:sz w:val="24"/>
        </w:rPr>
        <w:t>制度</w:t>
      </w:r>
      <w:r>
        <w:rPr>
          <w:rFonts w:ascii="宋体" w:hAnsi="宋体" w:cs="Arial"/>
          <w:sz w:val="24"/>
        </w:rPr>
        <w:t>。</w:t>
      </w:r>
    </w:p>
    <w:p w14:paraId="739CAFED">
      <w:pPr>
        <w:spacing w:line="312" w:lineRule="auto"/>
        <w:ind w:left="420"/>
        <w:rPr>
          <w:rFonts w:ascii="宋体" w:hAnsi="宋体" w:cs="Arial"/>
          <w:sz w:val="24"/>
        </w:rPr>
      </w:pPr>
    </w:p>
    <w:p w14:paraId="601D2BB2">
      <w:pPr>
        <w:spacing w:line="312" w:lineRule="auto"/>
        <w:ind w:left="1260" w:hanging="1260"/>
        <w:rPr>
          <w:rFonts w:ascii="宋体" w:hAnsi="宋体" w:cs="Arial"/>
          <w:sz w:val="24"/>
        </w:rPr>
      </w:pPr>
      <w:r>
        <w:rPr>
          <w:rFonts w:ascii="宋体" w:hAnsi="宋体" w:cs="Arial"/>
          <w:bCs/>
          <w:sz w:val="24"/>
        </w:rPr>
        <w:t>第二条</w:t>
      </w:r>
      <w:r>
        <w:rPr>
          <w:rFonts w:hint="eastAsia" w:ascii="宋体" w:hAnsi="宋体" w:cs="Arial"/>
          <w:bCs/>
          <w:sz w:val="24"/>
        </w:rPr>
        <w:tab/>
      </w:r>
      <w:r>
        <w:rPr>
          <w:rFonts w:ascii="宋体" w:hAnsi="宋体" w:cs="Arial"/>
          <w:sz w:val="24"/>
        </w:rPr>
        <w:t>投资者关系</w:t>
      </w:r>
      <w:r>
        <w:rPr>
          <w:rFonts w:hint="eastAsia" w:ascii="宋体" w:hAnsi="宋体" w:cs="Arial"/>
          <w:sz w:val="24"/>
        </w:rPr>
        <w:t>管理</w:t>
      </w:r>
      <w:r>
        <w:rPr>
          <w:rFonts w:ascii="宋体" w:hAnsi="宋体" w:cs="Arial"/>
          <w:sz w:val="24"/>
        </w:rPr>
        <w:t>是指公司通过</w:t>
      </w:r>
      <w:r>
        <w:rPr>
          <w:rFonts w:hint="eastAsia" w:ascii="宋体" w:hAnsi="宋体" w:cs="Arial"/>
          <w:sz w:val="24"/>
        </w:rPr>
        <w:t>便利股东权利行使、信息披露、互动交流和诉求处理等工作</w:t>
      </w:r>
      <w:r>
        <w:rPr>
          <w:rFonts w:ascii="宋体" w:hAnsi="宋体" w:cs="Arial"/>
          <w:sz w:val="24"/>
        </w:rPr>
        <w:t xml:space="preserve">, </w:t>
      </w:r>
      <w:r>
        <w:rPr>
          <w:rFonts w:hint="eastAsia" w:ascii="宋体" w:hAnsi="宋体" w:cs="Arial"/>
          <w:sz w:val="24"/>
        </w:rPr>
        <w:t>加强与投资者及潜在投资者之间的沟通,</w:t>
      </w:r>
      <w:r>
        <w:rPr>
          <w:rFonts w:ascii="宋体" w:hAnsi="宋体" w:cs="Arial"/>
          <w:sz w:val="24"/>
        </w:rPr>
        <w:t xml:space="preserve"> </w:t>
      </w:r>
      <w:r>
        <w:rPr>
          <w:rFonts w:hint="eastAsia" w:ascii="宋体" w:hAnsi="宋体" w:cs="Arial"/>
          <w:sz w:val="24"/>
        </w:rPr>
        <w:t>增进投资者对公司的了解和认同,</w:t>
      </w:r>
      <w:r>
        <w:rPr>
          <w:rFonts w:ascii="宋体" w:hAnsi="宋体" w:cs="Arial"/>
          <w:sz w:val="24"/>
        </w:rPr>
        <w:t xml:space="preserve"> </w:t>
      </w:r>
      <w:r>
        <w:rPr>
          <w:rFonts w:hint="eastAsia" w:ascii="宋体" w:hAnsi="宋体" w:cs="Arial"/>
          <w:sz w:val="24"/>
        </w:rPr>
        <w:t>以提升公司治理水平和企业整体价值,</w:t>
      </w:r>
      <w:r>
        <w:rPr>
          <w:rFonts w:ascii="宋体" w:hAnsi="宋体" w:cs="Arial"/>
          <w:sz w:val="24"/>
        </w:rPr>
        <w:t xml:space="preserve"> </w:t>
      </w:r>
      <w:r>
        <w:rPr>
          <w:rFonts w:hint="eastAsia" w:ascii="宋体" w:hAnsi="宋体" w:cs="Arial"/>
          <w:sz w:val="24"/>
        </w:rPr>
        <w:t>实现尊重投资者、回报投资者、保护投资者目的的相关活动。</w:t>
      </w:r>
    </w:p>
    <w:p w14:paraId="202B81C1">
      <w:pPr>
        <w:spacing w:line="312" w:lineRule="auto"/>
        <w:rPr>
          <w:rFonts w:ascii="宋体" w:hAnsi="宋体" w:cs="Arial"/>
          <w:sz w:val="24"/>
        </w:rPr>
      </w:pPr>
    </w:p>
    <w:p w14:paraId="05B120D2">
      <w:pPr>
        <w:spacing w:line="312" w:lineRule="auto"/>
        <w:ind w:left="1260" w:hanging="1260"/>
        <w:rPr>
          <w:rFonts w:ascii="宋体" w:hAnsi="宋体" w:cs="Arial"/>
          <w:sz w:val="24"/>
        </w:rPr>
      </w:pPr>
      <w:r>
        <w:rPr>
          <w:rFonts w:ascii="宋体" w:hAnsi="宋体" w:cs="Arial"/>
          <w:bCs/>
          <w:sz w:val="24"/>
        </w:rPr>
        <w:t>第三条</w:t>
      </w:r>
      <w:r>
        <w:rPr>
          <w:rFonts w:hint="eastAsia" w:ascii="宋体" w:hAnsi="宋体" w:cs="Arial"/>
          <w:bCs/>
          <w:sz w:val="24"/>
        </w:rPr>
        <w:tab/>
      </w:r>
      <w:r>
        <w:rPr>
          <w:rFonts w:ascii="宋体" w:hAnsi="宋体" w:cs="Arial"/>
          <w:sz w:val="24"/>
        </w:rPr>
        <w:t>投资者关系</w:t>
      </w:r>
      <w:r>
        <w:rPr>
          <w:rFonts w:hint="eastAsia" w:ascii="宋体" w:hAnsi="宋体" w:cs="Arial"/>
          <w:sz w:val="24"/>
        </w:rPr>
        <w:t>管理</w:t>
      </w:r>
      <w:r>
        <w:rPr>
          <w:rFonts w:ascii="宋体" w:hAnsi="宋体" w:cs="Arial"/>
          <w:sz w:val="24"/>
        </w:rPr>
        <w:t>的目的是:</w:t>
      </w:r>
    </w:p>
    <w:p w14:paraId="11DB9EE4">
      <w:pPr>
        <w:spacing w:line="312" w:lineRule="auto"/>
        <w:ind w:left="900" w:hanging="900"/>
        <w:rPr>
          <w:rFonts w:ascii="宋体" w:hAnsi="宋体" w:cs="Arial"/>
          <w:sz w:val="24"/>
        </w:rPr>
      </w:pPr>
    </w:p>
    <w:p w14:paraId="52D28FEE">
      <w:pPr>
        <w:tabs>
          <w:tab w:val="left" w:pos="1980"/>
        </w:tabs>
        <w:spacing w:line="312" w:lineRule="auto"/>
        <w:ind w:left="2009" w:leftChars="599" w:hanging="751" w:hangingChars="313"/>
        <w:rPr>
          <w:rFonts w:ascii="宋体" w:hAnsi="宋体" w:cs="Arial"/>
          <w:sz w:val="24"/>
        </w:rPr>
      </w:pPr>
      <w:r>
        <w:rPr>
          <w:rFonts w:ascii="宋体" w:hAnsi="宋体" w:cs="Arial"/>
          <w:sz w:val="24"/>
        </w:rPr>
        <w:t>(一)</w:t>
      </w:r>
      <w:r>
        <w:rPr>
          <w:rFonts w:hint="eastAsia" w:ascii="宋体" w:hAnsi="宋体" w:cs="Arial"/>
          <w:sz w:val="24"/>
        </w:rPr>
        <w:tab/>
      </w:r>
      <w:r>
        <w:rPr>
          <w:rFonts w:ascii="宋体" w:hAnsi="宋体" w:cs="Arial"/>
          <w:sz w:val="24"/>
        </w:rPr>
        <w:t>促进公司与投资者之间的良性关系, 增进投资者对公司的进一步了解和熟悉</w:t>
      </w:r>
      <w:r>
        <w:rPr>
          <w:rFonts w:hint="eastAsia" w:ascii="宋体" w:hAnsi="宋体" w:cs="Arial"/>
          <w:sz w:val="24"/>
        </w:rPr>
        <w:t>;</w:t>
      </w:r>
    </w:p>
    <w:p w14:paraId="0215768F">
      <w:pPr>
        <w:tabs>
          <w:tab w:val="left" w:pos="1980"/>
        </w:tabs>
        <w:spacing w:line="312" w:lineRule="auto"/>
        <w:ind w:left="2009" w:leftChars="599" w:hanging="751" w:hangingChars="313"/>
        <w:rPr>
          <w:rFonts w:ascii="宋体" w:hAnsi="宋体" w:cs="Arial"/>
          <w:sz w:val="24"/>
        </w:rPr>
      </w:pPr>
      <w:r>
        <w:rPr>
          <w:rFonts w:ascii="宋体" w:hAnsi="宋体" w:cs="Arial"/>
          <w:sz w:val="24"/>
        </w:rPr>
        <w:t>(二)</w:t>
      </w:r>
      <w:r>
        <w:rPr>
          <w:rFonts w:hint="eastAsia" w:ascii="宋体" w:hAnsi="宋体" w:cs="Arial"/>
          <w:sz w:val="24"/>
        </w:rPr>
        <w:tab/>
      </w:r>
      <w:r>
        <w:rPr>
          <w:rFonts w:ascii="宋体" w:hAnsi="宋体" w:cs="Arial"/>
          <w:sz w:val="24"/>
        </w:rPr>
        <w:t>建立稳定和优质的投资者基础, 获得长期的市场支持</w:t>
      </w:r>
      <w:r>
        <w:rPr>
          <w:rFonts w:hint="eastAsia" w:ascii="宋体" w:hAnsi="宋体" w:cs="Arial"/>
          <w:sz w:val="24"/>
        </w:rPr>
        <w:t>;</w:t>
      </w:r>
    </w:p>
    <w:p w14:paraId="62FC6AAD">
      <w:pPr>
        <w:tabs>
          <w:tab w:val="left" w:pos="1980"/>
        </w:tabs>
        <w:spacing w:line="312" w:lineRule="auto"/>
        <w:ind w:left="2009" w:leftChars="599" w:hanging="751" w:hangingChars="313"/>
        <w:rPr>
          <w:rFonts w:ascii="宋体" w:hAnsi="宋体" w:cs="Arial"/>
          <w:sz w:val="24"/>
        </w:rPr>
      </w:pPr>
      <w:r>
        <w:rPr>
          <w:rFonts w:ascii="宋体" w:hAnsi="宋体" w:cs="Arial"/>
          <w:sz w:val="24"/>
        </w:rPr>
        <w:t>(三)</w:t>
      </w:r>
      <w:r>
        <w:rPr>
          <w:rFonts w:hint="eastAsia" w:ascii="宋体" w:hAnsi="宋体" w:cs="Arial"/>
          <w:sz w:val="24"/>
        </w:rPr>
        <w:tab/>
      </w:r>
      <w:r>
        <w:rPr>
          <w:rFonts w:ascii="宋体" w:hAnsi="宋体" w:cs="Arial"/>
          <w:sz w:val="24"/>
        </w:rPr>
        <w:t>形成服务投资者、尊重投资者的企业文化</w:t>
      </w:r>
      <w:r>
        <w:rPr>
          <w:rFonts w:hint="eastAsia" w:ascii="宋体" w:hAnsi="宋体" w:cs="Arial"/>
          <w:sz w:val="24"/>
        </w:rPr>
        <w:t>;</w:t>
      </w:r>
    </w:p>
    <w:p w14:paraId="506AD755">
      <w:pPr>
        <w:tabs>
          <w:tab w:val="left" w:pos="1980"/>
        </w:tabs>
        <w:spacing w:line="312" w:lineRule="auto"/>
        <w:ind w:left="2009" w:leftChars="599" w:hanging="751" w:hangingChars="313"/>
        <w:rPr>
          <w:rFonts w:ascii="宋体" w:hAnsi="宋体" w:cs="Arial"/>
          <w:sz w:val="24"/>
        </w:rPr>
      </w:pPr>
      <w:r>
        <w:rPr>
          <w:rFonts w:ascii="宋体" w:hAnsi="宋体" w:cs="Arial"/>
          <w:sz w:val="24"/>
        </w:rPr>
        <w:t>(四)</w:t>
      </w:r>
      <w:r>
        <w:rPr>
          <w:rFonts w:hint="eastAsia" w:ascii="宋体" w:hAnsi="宋体" w:cs="Arial"/>
          <w:sz w:val="24"/>
        </w:rPr>
        <w:tab/>
      </w:r>
      <w:r>
        <w:rPr>
          <w:rFonts w:ascii="宋体" w:hAnsi="宋体" w:cs="Arial"/>
          <w:sz w:val="24"/>
        </w:rPr>
        <w:t>促进公司整体利益最大化和股东财富增长并举的投资理念</w:t>
      </w:r>
      <w:r>
        <w:rPr>
          <w:rFonts w:hint="eastAsia" w:ascii="宋体" w:hAnsi="宋体" w:cs="Arial"/>
          <w:sz w:val="24"/>
        </w:rPr>
        <w:t>;</w:t>
      </w:r>
    </w:p>
    <w:p w14:paraId="03EA1B81">
      <w:pPr>
        <w:numPr>
          <w:ilvl w:val="0"/>
          <w:numId w:val="2"/>
        </w:numPr>
        <w:spacing w:line="312" w:lineRule="auto"/>
        <w:rPr>
          <w:rFonts w:ascii="宋体" w:hAnsi="宋体" w:cs="Arial"/>
          <w:sz w:val="24"/>
        </w:rPr>
      </w:pPr>
      <w:r>
        <w:rPr>
          <w:rFonts w:ascii="宋体" w:hAnsi="宋体" w:cs="Arial"/>
          <w:sz w:val="24"/>
        </w:rPr>
        <w:t>增加公司信息披露透明度, 改善公司治理。</w:t>
      </w:r>
    </w:p>
    <w:p w14:paraId="1BED5114">
      <w:pPr>
        <w:tabs>
          <w:tab w:val="left" w:pos="1980"/>
        </w:tabs>
        <w:spacing w:line="312" w:lineRule="auto"/>
        <w:ind w:left="1258"/>
        <w:rPr>
          <w:rFonts w:ascii="宋体" w:hAnsi="宋体" w:cs="Arial"/>
          <w:sz w:val="24"/>
        </w:rPr>
      </w:pPr>
    </w:p>
    <w:p w14:paraId="41A8E8FF">
      <w:pPr>
        <w:spacing w:line="312" w:lineRule="auto"/>
        <w:ind w:left="1260" w:hanging="1260"/>
        <w:rPr>
          <w:rFonts w:ascii="宋体" w:hAnsi="宋体" w:cs="Arial"/>
          <w:sz w:val="24"/>
        </w:rPr>
      </w:pPr>
      <w:r>
        <w:rPr>
          <w:rFonts w:ascii="宋体" w:hAnsi="宋体" w:cs="Arial"/>
          <w:bCs/>
          <w:sz w:val="24"/>
        </w:rPr>
        <w:t>第四条</w:t>
      </w:r>
      <w:r>
        <w:rPr>
          <w:rFonts w:hint="eastAsia" w:ascii="宋体" w:hAnsi="宋体" w:cs="Arial"/>
          <w:bCs/>
          <w:sz w:val="24"/>
        </w:rPr>
        <w:tab/>
      </w:r>
      <w:r>
        <w:rPr>
          <w:rFonts w:ascii="宋体" w:hAnsi="宋体" w:cs="Arial"/>
          <w:sz w:val="24"/>
        </w:rPr>
        <w:t>投资者关系</w:t>
      </w:r>
      <w:r>
        <w:rPr>
          <w:rFonts w:hint="eastAsia" w:ascii="宋体" w:hAnsi="宋体" w:cs="Arial"/>
          <w:sz w:val="24"/>
        </w:rPr>
        <w:t>管理</w:t>
      </w:r>
      <w:r>
        <w:rPr>
          <w:rFonts w:ascii="宋体" w:hAnsi="宋体" w:cs="Arial"/>
          <w:sz w:val="24"/>
        </w:rPr>
        <w:t>的基本原则是:</w:t>
      </w:r>
    </w:p>
    <w:p w14:paraId="18C9B3C0">
      <w:pPr>
        <w:spacing w:line="312" w:lineRule="auto"/>
        <w:ind w:left="900" w:hanging="900"/>
        <w:rPr>
          <w:rFonts w:ascii="宋体" w:hAnsi="宋体" w:cs="Arial"/>
          <w:sz w:val="24"/>
        </w:rPr>
      </w:pPr>
    </w:p>
    <w:p w14:paraId="3CC48787">
      <w:pPr>
        <w:numPr>
          <w:ilvl w:val="0"/>
          <w:numId w:val="3"/>
        </w:numPr>
        <w:tabs>
          <w:tab w:val="left" w:pos="1980"/>
          <w:tab w:val="clear" w:pos="959"/>
        </w:tabs>
        <w:spacing w:line="312" w:lineRule="auto"/>
        <w:ind w:left="1980" w:hanging="720"/>
        <w:rPr>
          <w:rFonts w:ascii="宋体" w:hAnsi="宋体" w:cs="Arial"/>
          <w:sz w:val="24"/>
        </w:rPr>
      </w:pPr>
      <w:r>
        <w:rPr>
          <w:rFonts w:hint="eastAsia" w:ascii="宋体" w:hAnsi="宋体" w:cs="Arial"/>
          <w:bCs/>
          <w:sz w:val="24"/>
        </w:rPr>
        <w:t>合规性原则。公司投资者关系管理应当在依法履行信息披露义务的基础上开展,</w:t>
      </w:r>
      <w:r>
        <w:rPr>
          <w:rFonts w:ascii="宋体" w:hAnsi="宋体" w:cs="Arial"/>
          <w:bCs/>
          <w:sz w:val="24"/>
        </w:rPr>
        <w:t xml:space="preserve"> </w:t>
      </w:r>
      <w:r>
        <w:rPr>
          <w:rFonts w:hint="eastAsia" w:ascii="宋体" w:hAnsi="宋体" w:cs="Arial"/>
          <w:bCs/>
          <w:sz w:val="24"/>
        </w:rPr>
        <w:t>符合法律、法规、规章及规范性文件、行业规范和自律规则、公司内部规章制度,</w:t>
      </w:r>
      <w:r>
        <w:rPr>
          <w:rFonts w:ascii="宋体" w:hAnsi="宋体" w:cs="Arial"/>
          <w:bCs/>
          <w:sz w:val="24"/>
        </w:rPr>
        <w:t xml:space="preserve"> </w:t>
      </w:r>
      <w:r>
        <w:rPr>
          <w:rFonts w:hint="eastAsia" w:ascii="宋体" w:hAnsi="宋体" w:cs="Arial"/>
          <w:bCs/>
          <w:sz w:val="24"/>
        </w:rPr>
        <w:t>以及行业普遍遵守的道德规范和行为准则。</w:t>
      </w:r>
    </w:p>
    <w:p w14:paraId="00C0DC2D">
      <w:pPr>
        <w:numPr>
          <w:ilvl w:val="0"/>
          <w:numId w:val="3"/>
        </w:numPr>
        <w:tabs>
          <w:tab w:val="left" w:pos="1980"/>
          <w:tab w:val="clear" w:pos="959"/>
        </w:tabs>
        <w:spacing w:line="312" w:lineRule="auto"/>
        <w:ind w:left="1980" w:hanging="720"/>
        <w:rPr>
          <w:rFonts w:ascii="宋体" w:hAnsi="宋体" w:cs="Arial"/>
          <w:sz w:val="24"/>
        </w:rPr>
      </w:pPr>
      <w:r>
        <w:rPr>
          <w:rFonts w:hint="eastAsia" w:ascii="宋体" w:hAnsi="宋体" w:cs="Arial"/>
          <w:bCs/>
          <w:sz w:val="24"/>
        </w:rPr>
        <w:t>平等性原则。公司开展投资者关系管理活动,</w:t>
      </w:r>
      <w:r>
        <w:rPr>
          <w:rFonts w:ascii="宋体" w:hAnsi="宋体" w:cs="Arial"/>
          <w:bCs/>
          <w:sz w:val="24"/>
        </w:rPr>
        <w:t xml:space="preserve"> </w:t>
      </w:r>
      <w:r>
        <w:rPr>
          <w:rFonts w:hint="eastAsia" w:ascii="宋体" w:hAnsi="宋体" w:cs="Arial"/>
          <w:bCs/>
          <w:sz w:val="24"/>
        </w:rPr>
        <w:t>应当平等对待所有投资者,</w:t>
      </w:r>
      <w:r>
        <w:rPr>
          <w:rFonts w:ascii="宋体" w:hAnsi="宋体" w:cs="Arial"/>
          <w:bCs/>
          <w:sz w:val="24"/>
        </w:rPr>
        <w:t xml:space="preserve"> </w:t>
      </w:r>
      <w:r>
        <w:rPr>
          <w:rFonts w:hint="eastAsia" w:ascii="宋体" w:hAnsi="宋体" w:cs="Arial"/>
          <w:bCs/>
          <w:sz w:val="24"/>
        </w:rPr>
        <w:t>尤其为中小投资者参与活动创造机会、提供便利。</w:t>
      </w:r>
    </w:p>
    <w:p w14:paraId="1714E89A">
      <w:pPr>
        <w:numPr>
          <w:ilvl w:val="0"/>
          <w:numId w:val="3"/>
        </w:numPr>
        <w:tabs>
          <w:tab w:val="left" w:pos="1980"/>
          <w:tab w:val="clear" w:pos="959"/>
        </w:tabs>
        <w:spacing w:line="312" w:lineRule="auto"/>
        <w:ind w:left="1980" w:hanging="720"/>
        <w:rPr>
          <w:rFonts w:ascii="宋体" w:hAnsi="宋体" w:cs="Arial"/>
          <w:sz w:val="24"/>
        </w:rPr>
      </w:pPr>
      <w:r>
        <w:rPr>
          <w:rFonts w:hint="eastAsia" w:ascii="宋体" w:hAnsi="宋体" w:cs="Arial"/>
          <w:bCs/>
          <w:sz w:val="24"/>
        </w:rPr>
        <w:t>主动性原则。公司应当主动开展投资者关系管理活动,</w:t>
      </w:r>
      <w:r>
        <w:rPr>
          <w:rFonts w:ascii="宋体" w:hAnsi="宋体" w:cs="Arial"/>
          <w:bCs/>
          <w:sz w:val="24"/>
        </w:rPr>
        <w:t xml:space="preserve"> </w:t>
      </w:r>
      <w:r>
        <w:rPr>
          <w:rFonts w:hint="eastAsia" w:ascii="宋体" w:hAnsi="宋体" w:cs="Arial"/>
          <w:bCs/>
          <w:sz w:val="24"/>
        </w:rPr>
        <w:t>听取投资者意见建议,</w:t>
      </w:r>
      <w:r>
        <w:rPr>
          <w:rFonts w:ascii="宋体" w:hAnsi="宋体" w:cs="Arial"/>
          <w:bCs/>
          <w:sz w:val="24"/>
        </w:rPr>
        <w:t xml:space="preserve"> </w:t>
      </w:r>
      <w:r>
        <w:rPr>
          <w:rFonts w:hint="eastAsia" w:ascii="宋体" w:hAnsi="宋体" w:cs="Arial"/>
          <w:bCs/>
          <w:sz w:val="24"/>
        </w:rPr>
        <w:t>及时回应投资者诉求。</w:t>
      </w:r>
    </w:p>
    <w:p w14:paraId="53DA37C3">
      <w:pPr>
        <w:numPr>
          <w:ilvl w:val="0"/>
          <w:numId w:val="3"/>
        </w:numPr>
        <w:tabs>
          <w:tab w:val="left" w:pos="1980"/>
          <w:tab w:val="clear" w:pos="959"/>
        </w:tabs>
        <w:spacing w:line="312" w:lineRule="auto"/>
        <w:ind w:left="1980" w:hanging="720"/>
        <w:rPr>
          <w:rFonts w:ascii="宋体" w:hAnsi="宋体" w:cs="Arial"/>
          <w:sz w:val="24"/>
        </w:rPr>
      </w:pPr>
      <w:r>
        <w:rPr>
          <w:rFonts w:ascii="宋体" w:hAnsi="宋体" w:cs="Arial"/>
          <w:bCs/>
          <w:sz w:val="24"/>
        </w:rPr>
        <w:t>诚实守信原则。</w:t>
      </w:r>
      <w:r>
        <w:rPr>
          <w:rFonts w:hint="eastAsia" w:ascii="宋体" w:hAnsi="宋体" w:cs="Arial"/>
          <w:bCs/>
          <w:sz w:val="24"/>
        </w:rPr>
        <w:t>公司在投资者关系管理活动中应当注重诚信、坚守底线、规范运作、担当责任, 营造健康良好的市场生态。</w:t>
      </w:r>
    </w:p>
    <w:p w14:paraId="7C19C32C">
      <w:pPr>
        <w:spacing w:line="312" w:lineRule="auto"/>
        <w:rPr>
          <w:rFonts w:ascii="宋体" w:hAnsi="宋体" w:cs="Arial"/>
          <w:sz w:val="24"/>
        </w:rPr>
      </w:pPr>
    </w:p>
    <w:p w14:paraId="4AD16A9C">
      <w:pPr>
        <w:spacing w:line="312" w:lineRule="auto"/>
        <w:ind w:left="1260" w:hanging="1260"/>
        <w:rPr>
          <w:rFonts w:ascii="宋体" w:hAnsi="宋体" w:cs="Arial"/>
          <w:sz w:val="24"/>
        </w:rPr>
      </w:pPr>
      <w:r>
        <w:rPr>
          <w:rFonts w:ascii="宋体" w:hAnsi="宋体" w:cs="Arial"/>
          <w:bCs/>
          <w:sz w:val="24"/>
        </w:rPr>
        <w:t>第</w:t>
      </w:r>
      <w:r>
        <w:rPr>
          <w:rFonts w:hint="eastAsia" w:ascii="宋体" w:hAnsi="宋体" w:cs="Arial"/>
          <w:bCs/>
          <w:sz w:val="24"/>
        </w:rPr>
        <w:t>五</w:t>
      </w:r>
      <w:r>
        <w:rPr>
          <w:rFonts w:ascii="宋体" w:hAnsi="宋体" w:cs="Arial"/>
          <w:bCs/>
          <w:sz w:val="24"/>
        </w:rPr>
        <w:t>条</w:t>
      </w:r>
      <w:r>
        <w:rPr>
          <w:rFonts w:hint="eastAsia" w:ascii="宋体" w:hAnsi="宋体" w:cs="Arial"/>
          <w:bCs/>
          <w:sz w:val="24"/>
        </w:rPr>
        <w:tab/>
      </w:r>
      <w:r>
        <w:rPr>
          <w:rFonts w:hint="eastAsia" w:ascii="宋体" w:hAnsi="宋体" w:cs="Arial"/>
          <w:sz w:val="24"/>
        </w:rPr>
        <w:t>公司及其控股股东、实际控制人、董事、高级管理人员和工作人员开展投资者关系管理工作,</w:t>
      </w:r>
      <w:r>
        <w:rPr>
          <w:rFonts w:ascii="宋体" w:hAnsi="宋体" w:cs="Arial"/>
          <w:sz w:val="24"/>
        </w:rPr>
        <w:t xml:space="preserve"> </w:t>
      </w:r>
      <w:r>
        <w:rPr>
          <w:rFonts w:hint="eastAsia" w:ascii="宋体" w:hAnsi="宋体" w:cs="Arial"/>
          <w:sz w:val="24"/>
        </w:rPr>
        <w:t>应当遵守法律法规和深圳证券交易所其他相关规定,</w:t>
      </w:r>
      <w:r>
        <w:rPr>
          <w:rFonts w:ascii="宋体" w:hAnsi="宋体" w:cs="Arial"/>
          <w:sz w:val="24"/>
        </w:rPr>
        <w:t xml:space="preserve"> </w:t>
      </w:r>
      <w:r>
        <w:rPr>
          <w:rFonts w:hint="eastAsia" w:ascii="宋体" w:hAnsi="宋体" w:cs="Arial"/>
          <w:sz w:val="24"/>
        </w:rPr>
        <w:t>体现公平、公正、公开原则,</w:t>
      </w:r>
      <w:r>
        <w:rPr>
          <w:rFonts w:ascii="宋体" w:hAnsi="宋体" w:cs="Arial"/>
          <w:sz w:val="24"/>
        </w:rPr>
        <w:t xml:space="preserve"> </w:t>
      </w:r>
      <w:r>
        <w:rPr>
          <w:rFonts w:hint="eastAsia" w:ascii="宋体" w:hAnsi="宋体" w:cs="Arial"/>
          <w:sz w:val="24"/>
        </w:rPr>
        <w:t>客观、真实、准确、完整地介绍和反映公司的实际状况,</w:t>
      </w:r>
      <w:r>
        <w:rPr>
          <w:rFonts w:ascii="宋体" w:hAnsi="宋体" w:cs="Arial"/>
          <w:sz w:val="24"/>
        </w:rPr>
        <w:t xml:space="preserve"> </w:t>
      </w:r>
      <w:r>
        <w:rPr>
          <w:rFonts w:hint="eastAsia" w:ascii="宋体" w:hAnsi="宋体" w:cs="Arial"/>
          <w:sz w:val="24"/>
        </w:rPr>
        <w:t>不得出现以下情形:</w:t>
      </w:r>
    </w:p>
    <w:p w14:paraId="2BD14A33">
      <w:pPr>
        <w:numPr>
          <w:ilvl w:val="0"/>
          <w:numId w:val="4"/>
        </w:numPr>
        <w:spacing w:line="312" w:lineRule="auto"/>
        <w:ind w:left="1980" w:hanging="720"/>
        <w:rPr>
          <w:rFonts w:ascii="宋体" w:hAnsi="宋体" w:cs="Arial"/>
          <w:sz w:val="24"/>
        </w:rPr>
      </w:pPr>
      <w:r>
        <w:rPr>
          <w:rFonts w:hint="eastAsia" w:ascii="宋体" w:hAnsi="宋体" w:cs="Arial"/>
          <w:sz w:val="24"/>
        </w:rPr>
        <w:t>透露或通过符合条件媒体以外的方式发布尚未公开披露的重大信息;</w:t>
      </w:r>
    </w:p>
    <w:p w14:paraId="234D89C5">
      <w:pPr>
        <w:numPr>
          <w:ilvl w:val="0"/>
          <w:numId w:val="4"/>
        </w:numPr>
        <w:spacing w:line="312" w:lineRule="auto"/>
        <w:ind w:left="1980" w:hanging="720"/>
        <w:rPr>
          <w:rFonts w:ascii="宋体" w:hAnsi="宋体" w:cs="Arial"/>
          <w:sz w:val="24"/>
        </w:rPr>
      </w:pPr>
      <w:r>
        <w:rPr>
          <w:rFonts w:hint="eastAsia" w:ascii="宋体" w:hAnsi="宋体" w:cs="Arial"/>
          <w:sz w:val="24"/>
        </w:rPr>
        <w:t>发布含有虚假或者引人误解的内容,</w:t>
      </w:r>
      <w:r>
        <w:rPr>
          <w:rFonts w:ascii="宋体" w:hAnsi="宋体" w:cs="Arial"/>
          <w:sz w:val="24"/>
        </w:rPr>
        <w:t xml:space="preserve"> </w:t>
      </w:r>
      <w:r>
        <w:rPr>
          <w:rFonts w:hint="eastAsia" w:ascii="宋体" w:hAnsi="宋体" w:cs="Arial"/>
          <w:sz w:val="24"/>
        </w:rPr>
        <w:t>作出夸大性宣传、误导性提示;</w:t>
      </w:r>
    </w:p>
    <w:p w14:paraId="4023649C">
      <w:pPr>
        <w:numPr>
          <w:ilvl w:val="0"/>
          <w:numId w:val="4"/>
        </w:numPr>
        <w:spacing w:line="312" w:lineRule="auto"/>
        <w:ind w:left="1980" w:hanging="720"/>
        <w:rPr>
          <w:rFonts w:ascii="宋体" w:hAnsi="宋体" w:cs="Arial"/>
          <w:sz w:val="24"/>
        </w:rPr>
      </w:pPr>
      <w:r>
        <w:rPr>
          <w:rFonts w:hint="eastAsia" w:ascii="宋体" w:hAnsi="宋体" w:cs="Arial"/>
          <w:sz w:val="24"/>
        </w:rPr>
        <w:t>对公司股票及其衍生产品价格作出预期或者承诺;</w:t>
      </w:r>
    </w:p>
    <w:p w14:paraId="328E8B8C">
      <w:pPr>
        <w:numPr>
          <w:ilvl w:val="0"/>
          <w:numId w:val="4"/>
        </w:numPr>
        <w:spacing w:line="312" w:lineRule="auto"/>
        <w:ind w:left="1980" w:hanging="720"/>
        <w:rPr>
          <w:rFonts w:ascii="宋体" w:hAnsi="宋体" w:cs="Arial"/>
          <w:sz w:val="24"/>
        </w:rPr>
      </w:pPr>
      <w:r>
        <w:rPr>
          <w:rFonts w:hint="eastAsia" w:ascii="宋体" w:hAnsi="宋体" w:cs="Arial"/>
          <w:sz w:val="24"/>
        </w:rPr>
        <w:t>歧视、轻视等不公平对待中小股东的行为;</w:t>
      </w:r>
    </w:p>
    <w:p w14:paraId="3C1FF6EE">
      <w:pPr>
        <w:numPr>
          <w:ilvl w:val="0"/>
          <w:numId w:val="4"/>
        </w:numPr>
        <w:spacing w:line="312" w:lineRule="auto"/>
        <w:ind w:left="1980" w:hanging="720"/>
        <w:rPr>
          <w:rFonts w:ascii="宋体" w:hAnsi="宋体" w:cs="Arial"/>
          <w:sz w:val="24"/>
        </w:rPr>
      </w:pPr>
      <w:r>
        <w:rPr>
          <w:rFonts w:hint="eastAsia" w:ascii="宋体" w:hAnsi="宋体" w:cs="Arial"/>
          <w:sz w:val="24"/>
        </w:rPr>
        <w:t>其他违反信息披露规则或者涉嫌操纵证券市场、内幕交易等违法违规行为。</w:t>
      </w:r>
    </w:p>
    <w:p w14:paraId="68F1E34A">
      <w:pPr>
        <w:spacing w:line="312" w:lineRule="auto"/>
        <w:rPr>
          <w:rFonts w:ascii="宋体" w:hAnsi="宋体" w:cs="Arial"/>
          <w:sz w:val="24"/>
        </w:rPr>
      </w:pPr>
    </w:p>
    <w:p w14:paraId="79FBCFBA">
      <w:pPr>
        <w:spacing w:line="312" w:lineRule="auto"/>
        <w:ind w:left="1260" w:hanging="1260"/>
        <w:rPr>
          <w:rFonts w:ascii="宋体" w:hAnsi="宋体" w:cs="Arial"/>
          <w:sz w:val="24"/>
        </w:rPr>
      </w:pPr>
      <w:r>
        <w:rPr>
          <w:rFonts w:ascii="宋体" w:hAnsi="宋体" w:cs="Arial"/>
          <w:bCs/>
          <w:sz w:val="24"/>
        </w:rPr>
        <w:t>第</w:t>
      </w:r>
      <w:r>
        <w:rPr>
          <w:rFonts w:hint="eastAsia" w:ascii="宋体" w:hAnsi="宋体" w:cs="Arial"/>
          <w:bCs/>
          <w:sz w:val="24"/>
        </w:rPr>
        <w:t>六</w:t>
      </w:r>
      <w:r>
        <w:rPr>
          <w:rFonts w:ascii="宋体" w:hAnsi="宋体" w:cs="Arial"/>
          <w:bCs/>
          <w:sz w:val="24"/>
        </w:rPr>
        <w:t>条</w:t>
      </w:r>
      <w:r>
        <w:rPr>
          <w:rFonts w:hint="eastAsia" w:ascii="宋体" w:hAnsi="宋体" w:cs="Arial"/>
          <w:bCs/>
          <w:sz w:val="24"/>
        </w:rPr>
        <w:tab/>
      </w:r>
      <w:r>
        <w:rPr>
          <w:rFonts w:hint="eastAsia" w:ascii="宋体" w:hAnsi="宋体" w:cs="Arial"/>
          <w:sz w:val="24"/>
        </w:rPr>
        <w:t>公司开展投资者关系管理活动, 应当以已公开披露信息作为交流内容, 不得以任何方式透露或者泄露未公开披露的重大信息。</w:t>
      </w:r>
    </w:p>
    <w:p w14:paraId="5AEA523F">
      <w:pPr>
        <w:spacing w:line="312" w:lineRule="auto"/>
        <w:ind w:left="1260" w:hanging="1260"/>
        <w:rPr>
          <w:rFonts w:ascii="宋体" w:hAnsi="宋体" w:cs="Arial"/>
          <w:sz w:val="24"/>
        </w:rPr>
      </w:pPr>
    </w:p>
    <w:p w14:paraId="1BA51F67">
      <w:pPr>
        <w:spacing w:line="312" w:lineRule="auto"/>
        <w:ind w:left="1260" w:firstLine="16"/>
        <w:rPr>
          <w:rFonts w:ascii="宋体" w:hAnsi="宋体" w:cs="Arial"/>
          <w:sz w:val="24"/>
        </w:rPr>
      </w:pPr>
      <w:r>
        <w:rPr>
          <w:rFonts w:hint="eastAsia" w:ascii="宋体" w:hAnsi="宋体" w:cs="Arial"/>
          <w:sz w:val="24"/>
        </w:rPr>
        <w:t>投资者关系活动中涉及或者可能涉及股价敏感事项、未公开披露的重大信息或者可以推测出未公开披露的重大信息的提问的, 公司应当告知投资者关注公司公告, 并就信息披露规则进行必要的解释说明。</w:t>
      </w:r>
    </w:p>
    <w:p w14:paraId="6BC3AF53">
      <w:pPr>
        <w:spacing w:line="312" w:lineRule="auto"/>
        <w:ind w:left="1260" w:firstLine="16"/>
        <w:rPr>
          <w:rFonts w:ascii="宋体" w:hAnsi="宋体" w:cs="Arial"/>
          <w:sz w:val="24"/>
        </w:rPr>
      </w:pPr>
    </w:p>
    <w:p w14:paraId="29C627E0">
      <w:pPr>
        <w:spacing w:line="312" w:lineRule="auto"/>
        <w:ind w:left="1260" w:firstLine="16"/>
        <w:rPr>
          <w:rFonts w:ascii="宋体" w:hAnsi="宋体" w:cs="Arial"/>
          <w:sz w:val="24"/>
        </w:rPr>
      </w:pPr>
      <w:r>
        <w:rPr>
          <w:rFonts w:hint="eastAsia" w:ascii="宋体" w:hAnsi="宋体" w:cs="Arial"/>
          <w:sz w:val="24"/>
        </w:rPr>
        <w:t>公司不得以投资者关系管理活动中的交流代替正式信息披露。公司在投资者关系管理活动中不慎泄露未公开披露的重大信息的, 应当立即通过符合条件媒体发布公告, 并采取其他必要措施。</w:t>
      </w:r>
      <w:r>
        <w:rPr>
          <w:rFonts w:ascii="宋体" w:hAnsi="宋体" w:cs="Arial"/>
          <w:sz w:val="24"/>
        </w:rPr>
        <w:cr/>
      </w:r>
    </w:p>
    <w:p w14:paraId="58EE9930">
      <w:pPr>
        <w:numPr>
          <w:ilvl w:val="0"/>
          <w:numId w:val="1"/>
        </w:numPr>
        <w:spacing w:line="312" w:lineRule="auto"/>
        <w:jc w:val="center"/>
        <w:rPr>
          <w:rFonts w:ascii="宋体" w:hAnsi="宋体" w:cs="Arial"/>
          <w:b/>
          <w:bCs/>
          <w:color w:val="000000"/>
          <w:sz w:val="24"/>
        </w:rPr>
      </w:pPr>
      <w:r>
        <w:rPr>
          <w:rFonts w:ascii="宋体" w:hAnsi="宋体" w:cs="Arial"/>
          <w:b/>
          <w:bCs/>
          <w:color w:val="000000"/>
          <w:sz w:val="24"/>
        </w:rPr>
        <w:t>投资者关系</w:t>
      </w:r>
      <w:r>
        <w:rPr>
          <w:rFonts w:hint="eastAsia" w:ascii="宋体" w:hAnsi="宋体" w:cs="Arial"/>
          <w:b/>
          <w:bCs/>
          <w:color w:val="000000"/>
          <w:sz w:val="24"/>
        </w:rPr>
        <w:t>管理</w:t>
      </w:r>
      <w:r>
        <w:rPr>
          <w:rFonts w:ascii="宋体" w:hAnsi="宋体" w:cs="Arial"/>
          <w:b/>
          <w:bCs/>
          <w:color w:val="000000"/>
          <w:sz w:val="24"/>
        </w:rPr>
        <w:t>的内容和方式</w:t>
      </w:r>
    </w:p>
    <w:p w14:paraId="32DF171E">
      <w:pPr>
        <w:spacing w:line="312" w:lineRule="auto"/>
        <w:ind w:left="479"/>
        <w:rPr>
          <w:rFonts w:ascii="宋体" w:hAnsi="宋体" w:cs="Arial"/>
          <w:sz w:val="24"/>
        </w:rPr>
      </w:pPr>
    </w:p>
    <w:p w14:paraId="5F5F5E6C">
      <w:pPr>
        <w:spacing w:line="312" w:lineRule="auto"/>
        <w:ind w:left="1260" w:hanging="1260"/>
        <w:rPr>
          <w:rFonts w:ascii="宋体" w:hAnsi="宋体" w:cs="Arial"/>
          <w:sz w:val="24"/>
        </w:rPr>
      </w:pPr>
      <w:r>
        <w:rPr>
          <w:rFonts w:ascii="宋体" w:hAnsi="宋体" w:cs="Arial"/>
          <w:bCs/>
          <w:sz w:val="24"/>
        </w:rPr>
        <w:t>第</w:t>
      </w:r>
      <w:r>
        <w:rPr>
          <w:rFonts w:hint="eastAsia" w:ascii="宋体" w:hAnsi="宋体" w:cs="Arial"/>
          <w:bCs/>
          <w:sz w:val="24"/>
        </w:rPr>
        <w:t>七</w:t>
      </w:r>
      <w:r>
        <w:rPr>
          <w:rFonts w:ascii="宋体" w:hAnsi="宋体" w:cs="Arial"/>
          <w:bCs/>
          <w:sz w:val="24"/>
        </w:rPr>
        <w:t>条</w:t>
      </w:r>
      <w:r>
        <w:rPr>
          <w:rFonts w:hint="eastAsia" w:ascii="宋体" w:hAnsi="宋体" w:cs="Arial"/>
          <w:bCs/>
          <w:sz w:val="24"/>
        </w:rPr>
        <w:tab/>
      </w:r>
      <w:r>
        <w:rPr>
          <w:rFonts w:ascii="宋体" w:hAnsi="宋体" w:cs="Arial"/>
          <w:sz w:val="24"/>
        </w:rPr>
        <w:t>投资者关系</w:t>
      </w:r>
      <w:r>
        <w:rPr>
          <w:rFonts w:hint="eastAsia" w:ascii="宋体" w:hAnsi="宋体" w:cs="Arial"/>
          <w:sz w:val="24"/>
        </w:rPr>
        <w:t>管理</w:t>
      </w:r>
      <w:r>
        <w:rPr>
          <w:rFonts w:ascii="宋体" w:hAnsi="宋体" w:cs="Arial"/>
          <w:sz w:val="24"/>
        </w:rPr>
        <w:t>中公司与投资者沟通的内容主要包括:</w:t>
      </w:r>
      <w:r>
        <w:rPr>
          <w:rFonts w:hint="eastAsia" w:ascii="宋体" w:hAnsi="宋体" w:cs="Arial"/>
          <w:sz w:val="24"/>
        </w:rPr>
        <w:t xml:space="preserve"> </w:t>
      </w:r>
    </w:p>
    <w:p w14:paraId="502FAB6F">
      <w:pPr>
        <w:numPr>
          <w:ilvl w:val="0"/>
          <w:numId w:val="5"/>
        </w:numPr>
        <w:tabs>
          <w:tab w:val="left" w:pos="1980"/>
          <w:tab w:val="clear" w:pos="959"/>
        </w:tabs>
        <w:spacing w:line="312" w:lineRule="auto"/>
        <w:ind w:left="2009" w:leftChars="599" w:hanging="751" w:hangingChars="313"/>
        <w:rPr>
          <w:rFonts w:ascii="宋体" w:hAnsi="宋体" w:cs="Arial"/>
          <w:sz w:val="24"/>
        </w:rPr>
      </w:pPr>
      <w:r>
        <w:rPr>
          <w:rFonts w:ascii="宋体" w:hAnsi="宋体" w:cs="Arial"/>
          <w:sz w:val="24"/>
        </w:rPr>
        <w:t>公司的发展战略</w:t>
      </w:r>
      <w:r>
        <w:rPr>
          <w:rFonts w:hint="eastAsia" w:ascii="宋体" w:hAnsi="宋体" w:cs="Arial"/>
          <w:sz w:val="24"/>
        </w:rPr>
        <w:t>;</w:t>
      </w:r>
    </w:p>
    <w:p w14:paraId="0115946E">
      <w:pPr>
        <w:numPr>
          <w:ilvl w:val="0"/>
          <w:numId w:val="5"/>
        </w:numPr>
        <w:tabs>
          <w:tab w:val="left" w:pos="1980"/>
          <w:tab w:val="clear" w:pos="959"/>
        </w:tabs>
        <w:spacing w:line="312" w:lineRule="auto"/>
        <w:ind w:left="2009" w:leftChars="599" w:hanging="751" w:hangingChars="313"/>
        <w:rPr>
          <w:rFonts w:ascii="宋体" w:hAnsi="宋体" w:cs="Arial"/>
          <w:sz w:val="24"/>
        </w:rPr>
      </w:pPr>
      <w:r>
        <w:rPr>
          <w:rFonts w:ascii="宋体" w:hAnsi="宋体" w:cs="Arial"/>
          <w:sz w:val="24"/>
        </w:rPr>
        <w:t>法定信息披露及其说明</w:t>
      </w:r>
      <w:r>
        <w:rPr>
          <w:rFonts w:hint="eastAsia" w:ascii="宋体" w:hAnsi="宋体" w:cs="Arial"/>
          <w:sz w:val="24"/>
        </w:rPr>
        <w:t>;</w:t>
      </w:r>
    </w:p>
    <w:p w14:paraId="1F4B6D69">
      <w:pPr>
        <w:numPr>
          <w:ilvl w:val="0"/>
          <w:numId w:val="5"/>
        </w:numPr>
        <w:tabs>
          <w:tab w:val="left" w:pos="1980"/>
          <w:tab w:val="clear" w:pos="959"/>
        </w:tabs>
        <w:spacing w:line="312" w:lineRule="auto"/>
        <w:ind w:left="2009" w:leftChars="599" w:hanging="751" w:hangingChars="313"/>
        <w:rPr>
          <w:rFonts w:ascii="宋体" w:hAnsi="宋体" w:cs="Arial"/>
          <w:sz w:val="24"/>
        </w:rPr>
      </w:pPr>
      <w:r>
        <w:rPr>
          <w:rFonts w:ascii="宋体" w:hAnsi="宋体" w:cs="Arial"/>
          <w:sz w:val="24"/>
        </w:rPr>
        <w:t>公司依法可以披露的经营管理信息</w:t>
      </w:r>
      <w:r>
        <w:rPr>
          <w:rFonts w:hint="eastAsia" w:ascii="宋体" w:hAnsi="宋体" w:cs="Arial"/>
          <w:sz w:val="24"/>
        </w:rPr>
        <w:t>;</w:t>
      </w:r>
    </w:p>
    <w:p w14:paraId="181204C0">
      <w:pPr>
        <w:numPr>
          <w:ilvl w:val="0"/>
          <w:numId w:val="5"/>
        </w:numPr>
        <w:tabs>
          <w:tab w:val="left" w:pos="1980"/>
          <w:tab w:val="clear" w:pos="959"/>
        </w:tabs>
        <w:spacing w:line="312" w:lineRule="auto"/>
        <w:ind w:left="2009" w:leftChars="599" w:hanging="751" w:hangingChars="313"/>
        <w:rPr>
          <w:rFonts w:ascii="宋体" w:hAnsi="宋体" w:cs="Arial"/>
          <w:sz w:val="24"/>
        </w:rPr>
      </w:pPr>
      <w:r>
        <w:rPr>
          <w:rFonts w:hint="eastAsia" w:ascii="宋体" w:hAnsi="宋体" w:cs="Arial"/>
          <w:sz w:val="24"/>
        </w:rPr>
        <w:t>公司的环境、社会和治理信息;</w:t>
      </w:r>
    </w:p>
    <w:p w14:paraId="288C31C7">
      <w:pPr>
        <w:numPr>
          <w:ilvl w:val="0"/>
          <w:numId w:val="5"/>
        </w:numPr>
        <w:tabs>
          <w:tab w:val="left" w:pos="1980"/>
          <w:tab w:val="clear" w:pos="959"/>
        </w:tabs>
        <w:spacing w:line="312" w:lineRule="auto"/>
        <w:ind w:left="2009" w:leftChars="599" w:hanging="751" w:hangingChars="313"/>
        <w:rPr>
          <w:rFonts w:ascii="宋体" w:hAnsi="宋体" w:cs="Arial"/>
          <w:sz w:val="24"/>
        </w:rPr>
      </w:pPr>
      <w:r>
        <w:rPr>
          <w:rFonts w:hint="eastAsia" w:ascii="宋体" w:hAnsi="宋体" w:cs="Arial"/>
          <w:sz w:val="24"/>
        </w:rPr>
        <w:t>公司的文化建设;</w:t>
      </w:r>
    </w:p>
    <w:p w14:paraId="6D08E207">
      <w:pPr>
        <w:numPr>
          <w:ilvl w:val="0"/>
          <w:numId w:val="5"/>
        </w:numPr>
        <w:tabs>
          <w:tab w:val="left" w:pos="1980"/>
          <w:tab w:val="clear" w:pos="959"/>
        </w:tabs>
        <w:spacing w:line="312" w:lineRule="auto"/>
        <w:ind w:left="2009" w:leftChars="599" w:hanging="751" w:hangingChars="313"/>
        <w:rPr>
          <w:rFonts w:ascii="宋体" w:hAnsi="宋体" w:cs="Arial"/>
          <w:sz w:val="24"/>
        </w:rPr>
      </w:pPr>
      <w:r>
        <w:rPr>
          <w:rFonts w:hint="eastAsia" w:ascii="宋体" w:hAnsi="宋体" w:cs="Arial"/>
          <w:sz w:val="24"/>
        </w:rPr>
        <w:t>股东权利行使的方式、途径和程序等;</w:t>
      </w:r>
    </w:p>
    <w:p w14:paraId="1BCDCE16">
      <w:pPr>
        <w:numPr>
          <w:ilvl w:val="0"/>
          <w:numId w:val="5"/>
        </w:numPr>
        <w:tabs>
          <w:tab w:val="left" w:pos="1980"/>
          <w:tab w:val="clear" w:pos="959"/>
        </w:tabs>
        <w:spacing w:line="312" w:lineRule="auto"/>
        <w:ind w:left="2009" w:leftChars="599" w:hanging="751" w:hangingChars="313"/>
        <w:rPr>
          <w:rFonts w:ascii="宋体" w:hAnsi="宋体" w:cs="Arial"/>
          <w:sz w:val="24"/>
        </w:rPr>
      </w:pPr>
      <w:r>
        <w:rPr>
          <w:rFonts w:hint="eastAsia" w:ascii="宋体" w:hAnsi="宋体" w:cs="Arial"/>
          <w:sz w:val="24"/>
        </w:rPr>
        <w:t>投资者诉求处理信息;</w:t>
      </w:r>
    </w:p>
    <w:p w14:paraId="6F34A90B">
      <w:pPr>
        <w:numPr>
          <w:ilvl w:val="0"/>
          <w:numId w:val="5"/>
        </w:numPr>
        <w:tabs>
          <w:tab w:val="left" w:pos="1980"/>
          <w:tab w:val="clear" w:pos="959"/>
        </w:tabs>
        <w:spacing w:line="312" w:lineRule="auto"/>
        <w:ind w:left="2009" w:leftChars="599" w:hanging="751" w:hangingChars="313"/>
        <w:rPr>
          <w:rFonts w:ascii="宋体" w:hAnsi="宋体" w:cs="Arial"/>
          <w:sz w:val="24"/>
        </w:rPr>
      </w:pPr>
      <w:r>
        <w:rPr>
          <w:rFonts w:hint="eastAsia" w:ascii="宋体" w:hAnsi="宋体" w:cs="Arial"/>
          <w:sz w:val="24"/>
        </w:rPr>
        <w:t>公司正在或者可能面临的风险和挑战;</w:t>
      </w:r>
    </w:p>
    <w:p w14:paraId="64D5F88A">
      <w:pPr>
        <w:numPr>
          <w:ilvl w:val="0"/>
          <w:numId w:val="5"/>
        </w:numPr>
        <w:tabs>
          <w:tab w:val="left" w:pos="1980"/>
          <w:tab w:val="clear" w:pos="959"/>
        </w:tabs>
        <w:spacing w:line="312" w:lineRule="auto"/>
        <w:ind w:left="2009" w:leftChars="599" w:hanging="751" w:hangingChars="313"/>
        <w:rPr>
          <w:rFonts w:ascii="宋体" w:hAnsi="宋体" w:cs="Arial"/>
          <w:sz w:val="24"/>
        </w:rPr>
      </w:pPr>
      <w:r>
        <w:rPr>
          <w:rFonts w:ascii="宋体" w:hAnsi="宋体" w:cs="Arial"/>
          <w:sz w:val="24"/>
        </w:rPr>
        <w:t>公司的其他相关信息。</w:t>
      </w:r>
    </w:p>
    <w:p w14:paraId="269C089A">
      <w:pPr>
        <w:spacing w:line="312" w:lineRule="auto"/>
        <w:rPr>
          <w:rFonts w:ascii="宋体" w:hAnsi="宋体" w:cs="Arial"/>
          <w:b/>
          <w:bCs/>
          <w:sz w:val="24"/>
        </w:rPr>
      </w:pPr>
    </w:p>
    <w:p w14:paraId="6B926C57">
      <w:pPr>
        <w:spacing w:line="312" w:lineRule="auto"/>
        <w:ind w:left="1260" w:hanging="1260"/>
        <w:rPr>
          <w:rFonts w:ascii="宋体" w:hAnsi="宋体" w:cs="Arial"/>
          <w:sz w:val="24"/>
        </w:rPr>
      </w:pPr>
      <w:r>
        <w:rPr>
          <w:rFonts w:ascii="宋体" w:hAnsi="宋体" w:cs="Arial"/>
          <w:bCs/>
          <w:sz w:val="24"/>
        </w:rPr>
        <w:t>第</w:t>
      </w:r>
      <w:r>
        <w:rPr>
          <w:rFonts w:hint="eastAsia" w:ascii="宋体" w:hAnsi="宋体" w:cs="Arial"/>
          <w:bCs/>
          <w:sz w:val="24"/>
        </w:rPr>
        <w:t>八</w:t>
      </w:r>
      <w:r>
        <w:rPr>
          <w:rFonts w:ascii="宋体" w:hAnsi="宋体" w:cs="Arial"/>
          <w:bCs/>
          <w:sz w:val="24"/>
        </w:rPr>
        <w:t>条</w:t>
      </w:r>
      <w:r>
        <w:rPr>
          <w:rFonts w:hint="eastAsia" w:ascii="宋体" w:hAnsi="宋体" w:cs="Arial"/>
          <w:bCs/>
          <w:sz w:val="24"/>
        </w:rPr>
        <w:tab/>
      </w:r>
      <w:r>
        <w:rPr>
          <w:rFonts w:ascii="宋体" w:hAnsi="宋体" w:cs="Arial"/>
          <w:bCs/>
          <w:sz w:val="24"/>
        </w:rPr>
        <w:t>公司</w:t>
      </w:r>
      <w:r>
        <w:rPr>
          <w:rFonts w:ascii="宋体" w:hAnsi="宋体" w:cs="Arial"/>
          <w:sz w:val="24"/>
        </w:rPr>
        <w:t>可多渠道、多层次地与投资者进行沟通, 沟通方式应尽可能便捷、有效, 便于投资者参与。</w:t>
      </w:r>
    </w:p>
    <w:p w14:paraId="1F170555">
      <w:pPr>
        <w:spacing w:line="312" w:lineRule="auto"/>
        <w:ind w:left="1260" w:hanging="1260"/>
        <w:rPr>
          <w:rFonts w:ascii="宋体" w:hAnsi="宋体" w:cs="Arial"/>
          <w:sz w:val="24"/>
        </w:rPr>
      </w:pPr>
    </w:p>
    <w:p w14:paraId="7E18BB16">
      <w:pPr>
        <w:spacing w:line="312" w:lineRule="auto"/>
        <w:ind w:left="1260" w:firstLine="16"/>
        <w:rPr>
          <w:rFonts w:ascii="宋体" w:hAnsi="宋体" w:cs="Arial"/>
          <w:sz w:val="24"/>
        </w:rPr>
      </w:pPr>
      <w:r>
        <w:rPr>
          <w:rFonts w:hint="eastAsia" w:ascii="宋体" w:hAnsi="宋体" w:cs="Arial"/>
          <w:sz w:val="24"/>
        </w:rPr>
        <w:t>公司可以通过公司官方网站、深圳证券交易所网站和深圳证券交易所投资者关系互动平台（以下简称“互动易平台”）、新媒体平台、电话、传真、邮箱、投资者教育基地等方式,</w:t>
      </w:r>
      <w:r>
        <w:rPr>
          <w:rFonts w:ascii="宋体" w:hAnsi="宋体" w:cs="Arial"/>
          <w:sz w:val="24"/>
        </w:rPr>
        <w:t xml:space="preserve"> </w:t>
      </w:r>
      <w:r>
        <w:rPr>
          <w:rFonts w:hint="eastAsia" w:ascii="宋体" w:hAnsi="宋体" w:cs="Arial"/>
          <w:sz w:val="24"/>
        </w:rPr>
        <w:t>采取股东会、投资者说明会、路演、投资者调研、证券分析师调研等形式,</w:t>
      </w:r>
      <w:r>
        <w:rPr>
          <w:rFonts w:ascii="宋体" w:hAnsi="宋体" w:cs="Arial"/>
          <w:sz w:val="24"/>
        </w:rPr>
        <w:t xml:space="preserve"> </w:t>
      </w:r>
      <w:r>
        <w:rPr>
          <w:rFonts w:hint="eastAsia" w:ascii="宋体" w:hAnsi="宋体" w:cs="Arial"/>
          <w:sz w:val="24"/>
        </w:rPr>
        <w:t>建立与投资者的重大事件沟通机制。</w:t>
      </w:r>
    </w:p>
    <w:p w14:paraId="0906DB5E">
      <w:pPr>
        <w:spacing w:line="312" w:lineRule="auto"/>
        <w:ind w:left="479"/>
        <w:rPr>
          <w:rFonts w:ascii="宋体" w:hAnsi="宋体" w:cs="Arial"/>
          <w:sz w:val="24"/>
        </w:rPr>
      </w:pPr>
    </w:p>
    <w:p w14:paraId="33907BC3">
      <w:pPr>
        <w:spacing w:line="312" w:lineRule="auto"/>
        <w:ind w:left="1260" w:hanging="1260"/>
        <w:rPr>
          <w:rFonts w:ascii="宋体" w:hAnsi="宋体" w:cs="Arial"/>
          <w:sz w:val="24"/>
        </w:rPr>
      </w:pPr>
      <w:r>
        <w:rPr>
          <w:rFonts w:ascii="宋体" w:hAnsi="宋体" w:cs="Arial"/>
          <w:bCs/>
          <w:sz w:val="24"/>
        </w:rPr>
        <w:t>第</w:t>
      </w:r>
      <w:r>
        <w:rPr>
          <w:rFonts w:hint="eastAsia" w:ascii="宋体" w:hAnsi="宋体" w:cs="Arial"/>
          <w:bCs/>
          <w:sz w:val="24"/>
        </w:rPr>
        <w:t>九</w:t>
      </w:r>
      <w:r>
        <w:rPr>
          <w:rFonts w:ascii="宋体" w:hAnsi="宋体" w:cs="Arial"/>
          <w:bCs/>
          <w:sz w:val="24"/>
        </w:rPr>
        <w:t>条</w:t>
      </w:r>
      <w:r>
        <w:rPr>
          <w:rFonts w:hint="eastAsia" w:ascii="宋体" w:hAnsi="宋体" w:cs="Arial"/>
          <w:bCs/>
          <w:sz w:val="24"/>
        </w:rPr>
        <w:tab/>
      </w:r>
      <w:r>
        <w:rPr>
          <w:rFonts w:ascii="宋体" w:hAnsi="宋体" w:cs="Arial"/>
          <w:sz w:val="24"/>
        </w:rPr>
        <w:t>根据法律、法规和证券监管部门、证券交易所</w:t>
      </w:r>
      <w:r>
        <w:rPr>
          <w:rFonts w:hint="eastAsia" w:ascii="宋体" w:hAnsi="宋体" w:cs="Arial"/>
          <w:sz w:val="24"/>
        </w:rPr>
        <w:t>的</w:t>
      </w:r>
      <w:r>
        <w:rPr>
          <w:rFonts w:ascii="宋体" w:hAnsi="宋体" w:cs="Arial"/>
          <w:sz w:val="24"/>
        </w:rPr>
        <w:t>规定应进行披露的信息必须于第一时间在公司信息披露指定报纸和指定网站公布。</w:t>
      </w:r>
    </w:p>
    <w:p w14:paraId="069091D3">
      <w:pPr>
        <w:spacing w:line="312" w:lineRule="auto"/>
        <w:ind w:left="479"/>
        <w:rPr>
          <w:rFonts w:ascii="宋体" w:hAnsi="宋体" w:cs="Arial"/>
          <w:b/>
          <w:bCs/>
          <w:sz w:val="24"/>
        </w:rPr>
      </w:pPr>
    </w:p>
    <w:p w14:paraId="2A78E49C">
      <w:pPr>
        <w:spacing w:line="312" w:lineRule="auto"/>
        <w:ind w:left="1260" w:firstLine="14"/>
        <w:rPr>
          <w:rFonts w:ascii="宋体" w:hAnsi="宋体" w:cs="Arial"/>
          <w:sz w:val="24"/>
        </w:rPr>
      </w:pPr>
      <w:r>
        <w:rPr>
          <w:rFonts w:ascii="宋体" w:hAnsi="宋体" w:cs="Arial"/>
          <w:bCs/>
          <w:sz w:val="24"/>
        </w:rPr>
        <w:t>公司</w:t>
      </w:r>
      <w:r>
        <w:rPr>
          <w:rFonts w:ascii="宋体" w:hAnsi="宋体" w:cs="Arial"/>
          <w:sz w:val="24"/>
        </w:rPr>
        <w:t>在其他公共传媒披露的信息不得先于指定报纸和指定网站, 不得以新闻发布或答记者问等其他形式代替公司公告。</w:t>
      </w:r>
      <w:r>
        <w:rPr>
          <w:rFonts w:hint="eastAsia" w:ascii="宋体" w:hAnsi="宋体" w:cs="Arial"/>
          <w:sz w:val="24"/>
        </w:rPr>
        <w:t>公司</w:t>
      </w:r>
      <w:r>
        <w:rPr>
          <w:rFonts w:ascii="宋体" w:hAnsi="宋体" w:cs="Arial"/>
          <w:sz w:val="24"/>
        </w:rPr>
        <w:t>应明确区分宣传广告与媒体的报道, 不应以宣传广告材料以及有偿手段影响媒体的客观独立报道。</w:t>
      </w:r>
      <w:r>
        <w:rPr>
          <w:rFonts w:hint="eastAsia" w:ascii="宋体" w:hAnsi="宋体" w:cs="Arial"/>
          <w:sz w:val="24"/>
        </w:rPr>
        <w:t>公司</w:t>
      </w:r>
      <w:r>
        <w:rPr>
          <w:rFonts w:ascii="宋体" w:hAnsi="宋体" w:cs="Arial"/>
          <w:sz w:val="24"/>
        </w:rPr>
        <w:t>应及时关注媒体的宣传报道, 必要时可适当回应。</w:t>
      </w:r>
    </w:p>
    <w:p w14:paraId="6EBB610A">
      <w:pPr>
        <w:spacing w:line="312" w:lineRule="auto"/>
        <w:ind w:left="479"/>
        <w:rPr>
          <w:rFonts w:ascii="宋体" w:hAnsi="宋体" w:cs="Arial"/>
          <w:sz w:val="24"/>
        </w:rPr>
      </w:pPr>
    </w:p>
    <w:p w14:paraId="2B7139A0">
      <w:pPr>
        <w:spacing w:line="312" w:lineRule="auto"/>
        <w:ind w:left="1260" w:hanging="1260"/>
        <w:rPr>
          <w:rFonts w:ascii="宋体" w:hAnsi="宋体" w:cs="Arial"/>
          <w:sz w:val="24"/>
        </w:rPr>
      </w:pPr>
      <w:r>
        <w:rPr>
          <w:rFonts w:ascii="宋体" w:hAnsi="宋体" w:cs="Arial"/>
          <w:bCs/>
          <w:sz w:val="24"/>
        </w:rPr>
        <w:t>第</w:t>
      </w:r>
      <w:r>
        <w:rPr>
          <w:rFonts w:hint="eastAsia" w:ascii="宋体" w:hAnsi="宋体" w:cs="Arial"/>
          <w:bCs/>
          <w:sz w:val="24"/>
        </w:rPr>
        <w:t>十</w:t>
      </w:r>
      <w:r>
        <w:rPr>
          <w:rFonts w:ascii="宋体" w:hAnsi="宋体" w:cs="Arial"/>
          <w:bCs/>
          <w:sz w:val="24"/>
        </w:rPr>
        <w:t>条</w:t>
      </w:r>
      <w:r>
        <w:rPr>
          <w:rFonts w:hint="eastAsia" w:ascii="宋体" w:hAnsi="宋体" w:cs="Arial"/>
          <w:bCs/>
          <w:sz w:val="24"/>
        </w:rPr>
        <w:tab/>
      </w:r>
      <w:r>
        <w:rPr>
          <w:rFonts w:ascii="宋体" w:hAnsi="宋体" w:cs="Arial"/>
          <w:sz w:val="24"/>
        </w:rPr>
        <w:t xml:space="preserve">公司应充分重视网络沟通平台建设, </w:t>
      </w:r>
      <w:r>
        <w:rPr>
          <w:rFonts w:hint="eastAsia" w:ascii="宋体" w:hAnsi="宋体" w:cs="Arial"/>
          <w:sz w:val="24"/>
        </w:rPr>
        <w:t>并应当在定期报告中公布公司网址,</w:t>
      </w:r>
      <w:r>
        <w:rPr>
          <w:rFonts w:hint="eastAsia"/>
        </w:rPr>
        <w:t xml:space="preserve"> </w:t>
      </w:r>
      <w:r>
        <w:rPr>
          <w:rFonts w:hint="eastAsia" w:ascii="宋体" w:hAnsi="宋体" w:cs="Arial"/>
          <w:sz w:val="24"/>
        </w:rPr>
        <w:t>当网址发生变更后, 公司应当及时进行公告。</w:t>
      </w:r>
    </w:p>
    <w:p w14:paraId="2365EACB">
      <w:pPr>
        <w:spacing w:line="312" w:lineRule="auto"/>
        <w:ind w:left="1260" w:hanging="1260"/>
        <w:rPr>
          <w:rFonts w:ascii="宋体" w:hAnsi="宋体" w:cs="Arial"/>
          <w:sz w:val="24"/>
        </w:rPr>
      </w:pPr>
    </w:p>
    <w:p w14:paraId="17BEA8A7">
      <w:pPr>
        <w:spacing w:line="312" w:lineRule="auto"/>
        <w:ind w:left="1260" w:firstLine="14"/>
        <w:rPr>
          <w:rFonts w:ascii="宋体" w:hAnsi="宋体" w:cs="Arial"/>
          <w:sz w:val="24"/>
        </w:rPr>
      </w:pPr>
      <w:r>
        <w:rPr>
          <w:rFonts w:hint="eastAsia" w:ascii="宋体" w:hAnsi="宋体" w:cs="Arial"/>
          <w:sz w:val="24"/>
        </w:rPr>
        <w:t>公司</w:t>
      </w:r>
      <w:r>
        <w:rPr>
          <w:rFonts w:ascii="宋体" w:hAnsi="宋体" w:cs="Arial"/>
          <w:sz w:val="24"/>
        </w:rPr>
        <w:t>可在公司网站开设投资者关系</w:t>
      </w:r>
      <w:r>
        <w:rPr>
          <w:rFonts w:hint="eastAsia" w:ascii="宋体" w:hAnsi="宋体" w:cs="Arial"/>
          <w:sz w:val="24"/>
        </w:rPr>
        <w:t>管理</w:t>
      </w:r>
      <w:r>
        <w:rPr>
          <w:rFonts w:ascii="宋体" w:hAnsi="宋体" w:cs="Arial"/>
          <w:sz w:val="24"/>
        </w:rPr>
        <w:t xml:space="preserve">专栏, </w:t>
      </w:r>
      <w:r>
        <w:rPr>
          <w:rFonts w:hint="eastAsia" w:ascii="宋体" w:hAnsi="宋体" w:cs="Arial"/>
          <w:sz w:val="24"/>
        </w:rPr>
        <w:t>收集和答复投资者的咨询、投诉和建议等诉求,</w:t>
      </w:r>
      <w:r>
        <w:rPr>
          <w:rFonts w:ascii="宋体" w:hAnsi="宋体" w:cs="Arial"/>
          <w:sz w:val="24"/>
        </w:rPr>
        <w:t xml:space="preserve"> </w:t>
      </w:r>
      <w:r>
        <w:rPr>
          <w:rFonts w:hint="eastAsia" w:ascii="宋体" w:hAnsi="宋体" w:cs="Arial"/>
          <w:sz w:val="24"/>
        </w:rPr>
        <w:t>及时发布和更新投资者关系管理工作相关信息。</w:t>
      </w:r>
    </w:p>
    <w:p w14:paraId="66F3045D">
      <w:pPr>
        <w:spacing w:line="312" w:lineRule="auto"/>
        <w:rPr>
          <w:rFonts w:ascii="宋体" w:hAnsi="宋体" w:cs="Arial"/>
          <w:b/>
          <w:bCs/>
          <w:sz w:val="24"/>
        </w:rPr>
      </w:pPr>
    </w:p>
    <w:p w14:paraId="1220C89A">
      <w:pPr>
        <w:spacing w:line="312" w:lineRule="auto"/>
        <w:ind w:left="1260" w:firstLine="14"/>
        <w:rPr>
          <w:rFonts w:ascii="宋体" w:hAnsi="宋体" w:cs="Arial"/>
          <w:sz w:val="24"/>
        </w:rPr>
      </w:pPr>
      <w:r>
        <w:rPr>
          <w:rFonts w:ascii="宋体" w:hAnsi="宋体" w:cs="Arial"/>
          <w:sz w:val="24"/>
        </w:rPr>
        <w:t>公司</w:t>
      </w:r>
      <w:r>
        <w:rPr>
          <w:rFonts w:ascii="宋体" w:hAnsi="宋体" w:cs="Arial"/>
          <w:bCs/>
          <w:sz w:val="24"/>
        </w:rPr>
        <w:t>应丰富和及时更新公司网站的内容, 可将新闻发布、公司概况、经营产品</w:t>
      </w:r>
      <w:r>
        <w:rPr>
          <w:rFonts w:ascii="宋体" w:hAnsi="宋体" w:cs="Arial"/>
          <w:sz w:val="24"/>
        </w:rPr>
        <w:t>或服务情况、法定信息披露资料、投资者关系联系方法、专题文章、行政人员演说、股票行情等投资者关心的相关信息放置于公司网站。</w:t>
      </w:r>
    </w:p>
    <w:p w14:paraId="4B296955">
      <w:pPr>
        <w:spacing w:line="312" w:lineRule="auto"/>
        <w:ind w:left="1260" w:firstLine="14"/>
        <w:rPr>
          <w:rFonts w:ascii="宋体" w:hAnsi="宋体" w:cs="Arial"/>
          <w:sz w:val="24"/>
        </w:rPr>
      </w:pPr>
    </w:p>
    <w:p w14:paraId="7ADD5A08">
      <w:pPr>
        <w:spacing w:line="312" w:lineRule="auto"/>
        <w:ind w:left="1260" w:firstLine="14"/>
        <w:rPr>
          <w:rFonts w:ascii="宋体" w:hAnsi="宋体" w:cs="Arial"/>
          <w:sz w:val="24"/>
        </w:rPr>
      </w:pPr>
      <w:r>
        <w:rPr>
          <w:rFonts w:hint="eastAsia" w:ascii="宋体" w:hAnsi="宋体" w:cs="Arial"/>
          <w:sz w:val="24"/>
        </w:rPr>
        <w:t>公司应当积极利用中国投资者网、证券交易所投资者关系互动平台等公益性网络基础设施开展投资者关系管理活动。</w:t>
      </w:r>
    </w:p>
    <w:p w14:paraId="64CB97FA">
      <w:pPr>
        <w:spacing w:line="312" w:lineRule="auto"/>
        <w:ind w:left="479"/>
        <w:rPr>
          <w:rFonts w:ascii="宋体" w:hAnsi="宋体" w:cs="Arial"/>
          <w:sz w:val="24"/>
        </w:rPr>
      </w:pPr>
    </w:p>
    <w:p w14:paraId="173E0940">
      <w:pPr>
        <w:spacing w:line="312" w:lineRule="auto"/>
        <w:ind w:left="1260" w:hanging="1260"/>
        <w:rPr>
          <w:rFonts w:ascii="宋体" w:hAnsi="宋体" w:cs="Arial"/>
          <w:sz w:val="24"/>
        </w:rPr>
      </w:pPr>
      <w:r>
        <w:rPr>
          <w:rFonts w:ascii="宋体" w:hAnsi="宋体" w:cs="Arial"/>
          <w:bCs/>
          <w:sz w:val="24"/>
        </w:rPr>
        <w:t>第十一条</w:t>
      </w:r>
      <w:r>
        <w:rPr>
          <w:rFonts w:hint="eastAsia" w:ascii="宋体" w:hAnsi="宋体" w:cs="Arial"/>
          <w:bCs/>
          <w:sz w:val="24"/>
        </w:rPr>
        <w:tab/>
      </w:r>
      <w:r>
        <w:rPr>
          <w:rFonts w:ascii="宋体" w:hAnsi="宋体" w:cs="Arial"/>
          <w:bCs/>
          <w:sz w:val="24"/>
        </w:rPr>
        <w:t>公</w:t>
      </w:r>
      <w:r>
        <w:rPr>
          <w:rFonts w:ascii="宋体" w:hAnsi="宋体" w:cs="Arial"/>
          <w:sz w:val="24"/>
        </w:rPr>
        <w:t>司应设立专门的投资者咨询电话</w:t>
      </w:r>
      <w:r>
        <w:rPr>
          <w:rFonts w:hint="eastAsia" w:ascii="宋体" w:hAnsi="宋体" w:cs="Arial"/>
          <w:sz w:val="24"/>
        </w:rPr>
        <w:t>、</w:t>
      </w:r>
      <w:r>
        <w:rPr>
          <w:rFonts w:ascii="宋体" w:hAnsi="宋体" w:cs="Arial"/>
          <w:sz w:val="24"/>
        </w:rPr>
        <w:t>传真</w:t>
      </w:r>
      <w:r>
        <w:rPr>
          <w:rFonts w:hint="eastAsia" w:ascii="宋体" w:hAnsi="宋体" w:cs="Arial"/>
          <w:sz w:val="24"/>
        </w:rPr>
        <w:t>和电子邮箱</w:t>
      </w:r>
      <w:r>
        <w:rPr>
          <w:rFonts w:ascii="宋体" w:hAnsi="宋体" w:cs="Arial"/>
          <w:sz w:val="24"/>
        </w:rPr>
        <w:t xml:space="preserve">, </w:t>
      </w:r>
      <w:r>
        <w:rPr>
          <w:rFonts w:hint="eastAsia" w:ascii="宋体" w:hAnsi="宋体" w:cs="Arial"/>
          <w:sz w:val="24"/>
        </w:rPr>
        <w:t>并应当在定期报告中公布咨询电话号码,</w:t>
      </w:r>
      <w:r>
        <w:rPr>
          <w:rFonts w:hint="eastAsia"/>
        </w:rPr>
        <w:t xml:space="preserve"> </w:t>
      </w:r>
      <w:r>
        <w:rPr>
          <w:rFonts w:hint="eastAsia" w:ascii="宋体" w:hAnsi="宋体" w:cs="Arial"/>
          <w:sz w:val="24"/>
        </w:rPr>
        <w:t>当咨询电话号码发生变更后, 公司应当及时进行公告。</w:t>
      </w:r>
    </w:p>
    <w:p w14:paraId="479D2CF8">
      <w:pPr>
        <w:spacing w:line="312" w:lineRule="auto"/>
        <w:ind w:left="1260" w:firstLine="14"/>
        <w:rPr>
          <w:rFonts w:ascii="宋体" w:hAnsi="宋体" w:cs="Arial"/>
          <w:sz w:val="24"/>
        </w:rPr>
      </w:pPr>
    </w:p>
    <w:p w14:paraId="2B5619E0">
      <w:pPr>
        <w:spacing w:line="312" w:lineRule="auto"/>
        <w:ind w:left="1260" w:firstLine="14"/>
        <w:rPr>
          <w:rFonts w:ascii="宋体" w:hAnsi="宋体" w:cs="Arial"/>
          <w:sz w:val="24"/>
        </w:rPr>
      </w:pPr>
      <w:r>
        <w:rPr>
          <w:rFonts w:hint="eastAsia" w:ascii="宋体" w:hAnsi="宋体" w:cs="Arial"/>
          <w:sz w:val="24"/>
        </w:rPr>
        <w:t>公司应当保证咨询电话、传真和电子邮箱</w:t>
      </w:r>
      <w:r>
        <w:rPr>
          <w:rFonts w:ascii="宋体" w:hAnsi="宋体" w:cs="Arial"/>
          <w:sz w:val="24"/>
        </w:rPr>
        <w:t>由熟悉情况的专人负责, 保证在工作时间线路畅通、认真接听。咨询电话号码</w:t>
      </w:r>
      <w:r>
        <w:rPr>
          <w:rFonts w:hint="eastAsia" w:ascii="宋体" w:hAnsi="宋体" w:cs="Arial"/>
          <w:sz w:val="24"/>
        </w:rPr>
        <w:t>和传真号码</w:t>
      </w:r>
      <w:r>
        <w:rPr>
          <w:rFonts w:ascii="宋体" w:hAnsi="宋体" w:cs="Arial"/>
          <w:sz w:val="24"/>
        </w:rPr>
        <w:t>如有变更应</w:t>
      </w:r>
      <w:r>
        <w:rPr>
          <w:rFonts w:hint="eastAsia" w:ascii="宋体" w:hAnsi="宋体" w:cs="Arial"/>
          <w:sz w:val="24"/>
        </w:rPr>
        <w:t>及时</w:t>
      </w:r>
      <w:r>
        <w:rPr>
          <w:rFonts w:ascii="宋体" w:hAnsi="宋体" w:cs="Arial"/>
          <w:sz w:val="24"/>
        </w:rPr>
        <w:t>公布。公司可利用网络等现代通讯工具定期或不定期开展有利于改善投资者关系的交流活动。</w:t>
      </w:r>
    </w:p>
    <w:p w14:paraId="288BFC1F">
      <w:pPr>
        <w:spacing w:line="312" w:lineRule="auto"/>
        <w:ind w:left="479"/>
        <w:rPr>
          <w:rFonts w:ascii="宋体" w:hAnsi="宋体" w:cs="Arial"/>
          <w:sz w:val="24"/>
        </w:rPr>
      </w:pPr>
    </w:p>
    <w:p w14:paraId="1968189E">
      <w:pPr>
        <w:spacing w:line="312" w:lineRule="auto"/>
        <w:ind w:left="1260" w:hanging="1260"/>
        <w:rPr>
          <w:rFonts w:ascii="宋体" w:hAnsi="宋体" w:cs="Arial"/>
          <w:sz w:val="24"/>
        </w:rPr>
      </w:pPr>
      <w:r>
        <w:rPr>
          <w:rFonts w:hint="eastAsia" w:ascii="宋体" w:hAnsi="宋体" w:cs="Arial"/>
          <w:sz w:val="24"/>
        </w:rPr>
        <w:t>第十二条</w:t>
      </w:r>
      <w:r>
        <w:rPr>
          <w:rFonts w:ascii="宋体" w:hAnsi="宋体" w:cs="Arial"/>
          <w:sz w:val="24"/>
        </w:rPr>
        <w:tab/>
      </w:r>
      <w:r>
        <w:rPr>
          <w:rFonts w:hint="eastAsia" w:ascii="宋体" w:hAnsi="宋体" w:cs="Arial"/>
          <w:sz w:val="24"/>
        </w:rPr>
        <w:t>公司应当为中小股东、机构投资者到公司现场参观、座谈沟通提供便利,</w:t>
      </w:r>
      <w:r>
        <w:rPr>
          <w:rFonts w:ascii="宋体" w:hAnsi="宋体" w:cs="Arial"/>
          <w:sz w:val="24"/>
        </w:rPr>
        <w:t xml:space="preserve"> </w:t>
      </w:r>
      <w:r>
        <w:rPr>
          <w:rFonts w:hint="eastAsia" w:ascii="宋体" w:hAnsi="宋体" w:cs="Arial"/>
          <w:sz w:val="24"/>
        </w:rPr>
        <w:t>合理、妥善地安排活动过程,</w:t>
      </w:r>
      <w:r>
        <w:rPr>
          <w:rFonts w:ascii="宋体" w:hAnsi="宋体" w:cs="Arial"/>
          <w:sz w:val="24"/>
        </w:rPr>
        <w:t xml:space="preserve"> </w:t>
      </w:r>
      <w:r>
        <w:rPr>
          <w:rFonts w:hint="eastAsia" w:ascii="宋体" w:hAnsi="宋体" w:cs="Arial"/>
          <w:sz w:val="24"/>
        </w:rPr>
        <w:t>做好信息隔离,</w:t>
      </w:r>
      <w:r>
        <w:rPr>
          <w:rFonts w:ascii="宋体" w:hAnsi="宋体" w:cs="Arial"/>
          <w:sz w:val="24"/>
        </w:rPr>
        <w:t xml:space="preserve"> </w:t>
      </w:r>
      <w:r>
        <w:rPr>
          <w:rFonts w:hint="eastAsia" w:ascii="宋体" w:hAnsi="宋体" w:cs="Arial"/>
          <w:sz w:val="24"/>
        </w:rPr>
        <w:t>不得使来访者接触到未公开披露的重大信息。</w:t>
      </w:r>
    </w:p>
    <w:p w14:paraId="44267D29">
      <w:pPr>
        <w:spacing w:line="312" w:lineRule="auto"/>
        <w:ind w:firstLine="14"/>
        <w:rPr>
          <w:rFonts w:ascii="宋体" w:hAnsi="宋体" w:cs="Arial"/>
          <w:sz w:val="24"/>
        </w:rPr>
      </w:pPr>
    </w:p>
    <w:p w14:paraId="6B05E40F">
      <w:pPr>
        <w:spacing w:line="312" w:lineRule="auto"/>
        <w:ind w:left="1260" w:hanging="1260"/>
        <w:rPr>
          <w:rFonts w:ascii="宋体" w:hAnsi="宋体" w:cs="Arial"/>
          <w:sz w:val="24"/>
        </w:rPr>
      </w:pPr>
      <w:r>
        <w:rPr>
          <w:rFonts w:hint="eastAsia" w:ascii="宋体" w:hAnsi="宋体" w:cs="Arial"/>
          <w:sz w:val="24"/>
        </w:rPr>
        <w:t>第十三条</w:t>
      </w:r>
      <w:r>
        <w:rPr>
          <w:rFonts w:ascii="宋体" w:hAnsi="宋体" w:cs="Arial"/>
          <w:sz w:val="24"/>
        </w:rPr>
        <w:tab/>
      </w:r>
      <w:r>
        <w:rPr>
          <w:rFonts w:hint="eastAsia" w:ascii="宋体" w:hAnsi="宋体" w:cs="Arial"/>
          <w:sz w:val="24"/>
        </w:rPr>
        <w:t>公司应当承担投资者投诉处理的首要责任,</w:t>
      </w:r>
      <w:r>
        <w:rPr>
          <w:rFonts w:ascii="宋体" w:hAnsi="宋体" w:cs="Arial"/>
          <w:sz w:val="24"/>
        </w:rPr>
        <w:t xml:space="preserve"> </w:t>
      </w:r>
      <w:r>
        <w:rPr>
          <w:rFonts w:hint="eastAsia" w:ascii="宋体" w:hAnsi="宋体" w:cs="Arial"/>
          <w:sz w:val="24"/>
        </w:rPr>
        <w:t>完善投诉处理机制,</w:t>
      </w:r>
      <w:r>
        <w:rPr>
          <w:rFonts w:ascii="宋体" w:hAnsi="宋体" w:cs="Arial"/>
          <w:sz w:val="24"/>
        </w:rPr>
        <w:t xml:space="preserve"> </w:t>
      </w:r>
      <w:r>
        <w:rPr>
          <w:rFonts w:hint="eastAsia" w:ascii="宋体" w:hAnsi="宋体" w:cs="Arial"/>
          <w:sz w:val="24"/>
        </w:rPr>
        <w:t>妥善处理投资者诉求。</w:t>
      </w:r>
    </w:p>
    <w:p w14:paraId="47BC60C6">
      <w:pPr>
        <w:spacing w:line="312" w:lineRule="auto"/>
        <w:rPr>
          <w:rFonts w:ascii="宋体" w:hAnsi="宋体" w:cs="Arial"/>
          <w:sz w:val="24"/>
        </w:rPr>
      </w:pPr>
    </w:p>
    <w:p w14:paraId="04CBDC83">
      <w:pPr>
        <w:spacing w:line="312" w:lineRule="auto"/>
        <w:ind w:left="1260" w:firstLine="14"/>
        <w:rPr>
          <w:rFonts w:ascii="宋体" w:hAnsi="宋体" w:cs="Arial"/>
          <w:sz w:val="24"/>
        </w:rPr>
      </w:pPr>
      <w:r>
        <w:rPr>
          <w:rFonts w:hint="eastAsia" w:ascii="宋体" w:hAnsi="宋体" w:cs="Arial"/>
          <w:sz w:val="24"/>
        </w:rPr>
        <w:t>公司与投资者之间发生的纠纷,</w:t>
      </w:r>
      <w:r>
        <w:rPr>
          <w:rFonts w:ascii="宋体" w:hAnsi="宋体" w:cs="Arial"/>
          <w:sz w:val="24"/>
        </w:rPr>
        <w:t xml:space="preserve"> </w:t>
      </w:r>
      <w:r>
        <w:rPr>
          <w:rFonts w:hint="eastAsia" w:ascii="宋体" w:hAnsi="宋体" w:cs="Arial"/>
          <w:sz w:val="24"/>
        </w:rPr>
        <w:t>可以自行协商解决、向调解组织申请调解、向仲裁机构申请仲裁或者向人民法院提起诉讼。</w:t>
      </w:r>
    </w:p>
    <w:p w14:paraId="2C8D496E">
      <w:pPr>
        <w:spacing w:line="312" w:lineRule="auto"/>
        <w:ind w:left="1260" w:firstLine="14"/>
        <w:rPr>
          <w:rFonts w:ascii="宋体" w:hAnsi="宋体" w:cs="Arial"/>
          <w:sz w:val="24"/>
        </w:rPr>
      </w:pPr>
    </w:p>
    <w:p w14:paraId="395AAE44">
      <w:pPr>
        <w:spacing w:line="312" w:lineRule="auto"/>
        <w:ind w:left="1260" w:hanging="1260"/>
        <w:rPr>
          <w:rFonts w:ascii="宋体" w:hAnsi="宋体" w:cs="Arial"/>
          <w:sz w:val="24"/>
        </w:rPr>
      </w:pPr>
      <w:r>
        <w:rPr>
          <w:rFonts w:hint="eastAsia" w:ascii="宋体" w:hAnsi="宋体" w:cs="Arial"/>
          <w:sz w:val="24"/>
        </w:rPr>
        <w:t>第十四条</w:t>
      </w:r>
      <w:r>
        <w:rPr>
          <w:rFonts w:ascii="宋体" w:hAnsi="宋体" w:cs="Arial"/>
          <w:sz w:val="24"/>
        </w:rPr>
        <w:tab/>
      </w:r>
      <w:r>
        <w:rPr>
          <w:rFonts w:hint="eastAsia" w:ascii="宋体" w:hAnsi="宋体" w:cs="Arial"/>
          <w:sz w:val="24"/>
        </w:rPr>
        <w:t>公司应当充分关注互动易收集的信息以及其他媒体关于本公司的报道,</w:t>
      </w:r>
      <w:r>
        <w:rPr>
          <w:rFonts w:ascii="宋体" w:hAnsi="宋体" w:cs="Arial"/>
          <w:sz w:val="24"/>
        </w:rPr>
        <w:t xml:space="preserve"> </w:t>
      </w:r>
      <w:r>
        <w:rPr>
          <w:rFonts w:hint="eastAsia" w:ascii="宋体" w:hAnsi="宋体" w:cs="Arial"/>
          <w:sz w:val="24"/>
        </w:rPr>
        <w:t>充分重视并依法履行有关公司的媒体报道信息引发或者可能引发的信息披露义务。</w:t>
      </w:r>
    </w:p>
    <w:p w14:paraId="61A2244F">
      <w:pPr>
        <w:spacing w:line="312" w:lineRule="auto"/>
        <w:ind w:left="1260" w:hanging="1260"/>
        <w:rPr>
          <w:rFonts w:ascii="宋体" w:hAnsi="宋体" w:cs="Arial"/>
          <w:sz w:val="24"/>
        </w:rPr>
      </w:pPr>
    </w:p>
    <w:p w14:paraId="679C5CAA">
      <w:pPr>
        <w:spacing w:line="312" w:lineRule="auto"/>
        <w:ind w:left="1260" w:hanging="1260"/>
        <w:rPr>
          <w:rFonts w:ascii="宋体" w:hAnsi="宋体" w:cs="Arial"/>
          <w:sz w:val="24"/>
        </w:rPr>
      </w:pPr>
      <w:r>
        <w:rPr>
          <w:rFonts w:ascii="宋体" w:hAnsi="宋体" w:cs="Arial"/>
          <w:bCs/>
          <w:sz w:val="24"/>
        </w:rPr>
        <w:t>第十五条</w:t>
      </w:r>
      <w:r>
        <w:rPr>
          <w:rFonts w:hint="eastAsia" w:ascii="宋体" w:hAnsi="宋体" w:cs="Arial"/>
          <w:bCs/>
          <w:sz w:val="24"/>
        </w:rPr>
        <w:tab/>
      </w:r>
      <w:r>
        <w:rPr>
          <w:rFonts w:hint="eastAsia" w:ascii="宋体" w:hAnsi="宋体" w:cs="Arial"/>
          <w:sz w:val="24"/>
        </w:rPr>
        <w:t>公司在投资者说明会、业绩说明会、分析师会议、路演等投资者关系活动结束后应当及时编制投资者关系活动记录表,</w:t>
      </w:r>
      <w:r>
        <w:rPr>
          <w:rFonts w:ascii="宋体" w:hAnsi="宋体" w:cs="Arial"/>
          <w:sz w:val="24"/>
        </w:rPr>
        <w:t xml:space="preserve"> </w:t>
      </w:r>
      <w:r>
        <w:rPr>
          <w:rFonts w:hint="eastAsia" w:ascii="宋体" w:hAnsi="宋体" w:cs="Arial"/>
          <w:sz w:val="24"/>
        </w:rPr>
        <w:t>并及时在互动易和公司网站（如有）刊载。活动记录表至少应当包括以下内容:</w:t>
      </w:r>
    </w:p>
    <w:p w14:paraId="2FA97E80">
      <w:pPr>
        <w:numPr>
          <w:ilvl w:val="0"/>
          <w:numId w:val="6"/>
        </w:numPr>
        <w:spacing w:line="312" w:lineRule="auto"/>
        <w:ind w:left="2009" w:leftChars="599" w:hanging="751" w:hangingChars="313"/>
        <w:rPr>
          <w:rFonts w:ascii="宋体" w:hAnsi="宋体" w:cs="Arial"/>
          <w:sz w:val="24"/>
        </w:rPr>
      </w:pPr>
      <w:r>
        <w:rPr>
          <w:rFonts w:hint="eastAsia" w:ascii="宋体" w:hAnsi="宋体" w:cs="Arial"/>
          <w:sz w:val="24"/>
        </w:rPr>
        <w:t>活动参与人员、时间、地点、形式;</w:t>
      </w:r>
    </w:p>
    <w:p w14:paraId="5E9F976E">
      <w:pPr>
        <w:numPr>
          <w:ilvl w:val="0"/>
          <w:numId w:val="6"/>
        </w:numPr>
        <w:spacing w:line="312" w:lineRule="auto"/>
        <w:ind w:left="2009" w:leftChars="599" w:hanging="751" w:hangingChars="313"/>
        <w:rPr>
          <w:rFonts w:ascii="宋体" w:hAnsi="宋体" w:cs="Arial"/>
          <w:sz w:val="24"/>
        </w:rPr>
      </w:pPr>
      <w:r>
        <w:rPr>
          <w:rFonts w:hint="eastAsia" w:ascii="宋体" w:hAnsi="宋体" w:cs="Arial"/>
          <w:sz w:val="24"/>
        </w:rPr>
        <w:t>交流内容及具体问答记录;</w:t>
      </w:r>
    </w:p>
    <w:p w14:paraId="673F0E07">
      <w:pPr>
        <w:numPr>
          <w:ilvl w:val="0"/>
          <w:numId w:val="6"/>
        </w:numPr>
        <w:spacing w:line="312" w:lineRule="auto"/>
        <w:ind w:left="2009" w:leftChars="599" w:hanging="751" w:hangingChars="313"/>
        <w:rPr>
          <w:rFonts w:ascii="宋体" w:hAnsi="宋体" w:cs="Arial"/>
          <w:sz w:val="24"/>
        </w:rPr>
      </w:pPr>
      <w:r>
        <w:rPr>
          <w:rFonts w:hint="eastAsia" w:ascii="宋体" w:hAnsi="宋体" w:cs="Arial"/>
          <w:sz w:val="24"/>
        </w:rPr>
        <w:t>关于本次活动是否涉及应披露重大信息的说明;</w:t>
      </w:r>
    </w:p>
    <w:p w14:paraId="5F1821A9">
      <w:pPr>
        <w:numPr>
          <w:ilvl w:val="0"/>
          <w:numId w:val="6"/>
        </w:numPr>
        <w:spacing w:line="312" w:lineRule="auto"/>
        <w:ind w:left="2009" w:leftChars="599" w:hanging="751" w:hangingChars="313"/>
        <w:rPr>
          <w:rFonts w:ascii="宋体" w:hAnsi="宋体" w:cs="Arial"/>
          <w:sz w:val="24"/>
        </w:rPr>
      </w:pPr>
      <w:r>
        <w:rPr>
          <w:rFonts w:hint="eastAsia" w:ascii="宋体" w:hAnsi="宋体" w:cs="Arial"/>
          <w:sz w:val="24"/>
        </w:rPr>
        <w:t>活动过程中所使用的演示文稿、提供的文档等附件（如有）;</w:t>
      </w:r>
    </w:p>
    <w:p w14:paraId="5C94B6F2">
      <w:pPr>
        <w:numPr>
          <w:ilvl w:val="0"/>
          <w:numId w:val="6"/>
        </w:numPr>
        <w:spacing w:line="312" w:lineRule="auto"/>
        <w:ind w:left="2009" w:leftChars="599" w:hanging="751" w:hangingChars="313"/>
        <w:rPr>
          <w:rFonts w:ascii="宋体" w:hAnsi="宋体" w:cs="Arial"/>
          <w:sz w:val="24"/>
        </w:rPr>
      </w:pPr>
      <w:r>
        <w:rPr>
          <w:rFonts w:hint="eastAsia" w:ascii="宋体" w:hAnsi="宋体" w:cs="Arial"/>
          <w:sz w:val="24"/>
        </w:rPr>
        <w:t>深圳证券交易所要求的其他内容。</w:t>
      </w:r>
    </w:p>
    <w:p w14:paraId="4FFAEAA0">
      <w:pPr>
        <w:spacing w:line="312" w:lineRule="auto"/>
        <w:ind w:left="1260" w:hanging="1260"/>
        <w:rPr>
          <w:rFonts w:ascii="宋体" w:hAnsi="宋体" w:cs="Arial"/>
          <w:sz w:val="24"/>
        </w:rPr>
      </w:pPr>
    </w:p>
    <w:p w14:paraId="2F0E88FB">
      <w:pPr>
        <w:spacing w:line="312" w:lineRule="auto"/>
        <w:ind w:left="479"/>
        <w:jc w:val="center"/>
        <w:rPr>
          <w:rFonts w:ascii="宋体" w:hAnsi="宋体" w:cs="Arial"/>
          <w:b/>
          <w:bCs/>
          <w:sz w:val="24"/>
        </w:rPr>
      </w:pPr>
    </w:p>
    <w:p w14:paraId="497E8E7F">
      <w:pPr>
        <w:numPr>
          <w:ilvl w:val="0"/>
          <w:numId w:val="1"/>
        </w:numPr>
        <w:spacing w:line="312" w:lineRule="auto"/>
        <w:jc w:val="center"/>
        <w:rPr>
          <w:rFonts w:ascii="宋体" w:hAnsi="宋体" w:cs="Arial"/>
          <w:b/>
          <w:bCs/>
          <w:color w:val="000000"/>
          <w:sz w:val="24"/>
        </w:rPr>
      </w:pPr>
      <w:r>
        <w:rPr>
          <w:rFonts w:ascii="宋体" w:hAnsi="宋体" w:cs="Arial"/>
          <w:b/>
          <w:bCs/>
          <w:color w:val="000000"/>
          <w:sz w:val="24"/>
        </w:rPr>
        <w:t>投资者关系</w:t>
      </w:r>
      <w:r>
        <w:rPr>
          <w:rFonts w:hint="eastAsia" w:ascii="宋体" w:hAnsi="宋体" w:cs="Arial"/>
          <w:b/>
          <w:bCs/>
          <w:color w:val="000000"/>
          <w:sz w:val="24"/>
        </w:rPr>
        <w:t>管理</w:t>
      </w:r>
      <w:r>
        <w:rPr>
          <w:rFonts w:ascii="宋体" w:hAnsi="宋体" w:cs="Arial"/>
          <w:b/>
          <w:bCs/>
          <w:color w:val="000000"/>
          <w:sz w:val="24"/>
        </w:rPr>
        <w:t>的组织与实施</w:t>
      </w:r>
    </w:p>
    <w:p w14:paraId="5438DF9C">
      <w:pPr>
        <w:spacing w:line="312" w:lineRule="auto"/>
        <w:ind w:left="479"/>
        <w:rPr>
          <w:rFonts w:ascii="宋体" w:hAnsi="宋体" w:cs="Arial"/>
          <w:sz w:val="24"/>
        </w:rPr>
      </w:pPr>
    </w:p>
    <w:p w14:paraId="742D6D2D">
      <w:pPr>
        <w:spacing w:line="312" w:lineRule="auto"/>
        <w:ind w:left="1260" w:hanging="1260"/>
        <w:rPr>
          <w:rFonts w:ascii="宋体" w:hAnsi="宋体" w:cs="Arial"/>
          <w:sz w:val="24"/>
        </w:rPr>
      </w:pPr>
      <w:r>
        <w:rPr>
          <w:rFonts w:ascii="宋体" w:hAnsi="宋体" w:cs="Arial"/>
          <w:bCs/>
          <w:sz w:val="24"/>
        </w:rPr>
        <w:t>第十</w:t>
      </w:r>
      <w:r>
        <w:rPr>
          <w:rFonts w:hint="eastAsia" w:ascii="宋体" w:hAnsi="宋体" w:cs="Arial"/>
          <w:bCs/>
          <w:sz w:val="24"/>
        </w:rPr>
        <w:t>六</w:t>
      </w:r>
      <w:r>
        <w:rPr>
          <w:rFonts w:ascii="宋体" w:hAnsi="宋体" w:cs="Arial"/>
          <w:bCs/>
          <w:sz w:val="24"/>
        </w:rPr>
        <w:t>条</w:t>
      </w:r>
      <w:r>
        <w:rPr>
          <w:rFonts w:hint="eastAsia" w:ascii="宋体" w:hAnsi="宋体" w:cs="Arial"/>
          <w:bCs/>
          <w:sz w:val="24"/>
        </w:rPr>
        <w:tab/>
      </w:r>
      <w:r>
        <w:rPr>
          <w:rFonts w:hint="eastAsia" w:ascii="宋体" w:hAnsi="宋体" w:cs="Arial"/>
          <w:sz w:val="24"/>
        </w:rPr>
        <w:t>董事会秘书负责组织和协调投资者关系管理工作。公司控股股东、实际控制人以及董事、高级管理人员应当为董事会秘书履行投资者关系管理工作职责提供便利条件。</w:t>
      </w:r>
    </w:p>
    <w:p w14:paraId="5B49C507">
      <w:pPr>
        <w:spacing w:line="312" w:lineRule="auto"/>
        <w:ind w:left="479"/>
        <w:rPr>
          <w:rFonts w:ascii="宋体" w:hAnsi="宋体" w:cs="Arial"/>
          <w:sz w:val="24"/>
        </w:rPr>
      </w:pPr>
    </w:p>
    <w:p w14:paraId="408E4D35">
      <w:pPr>
        <w:spacing w:line="312" w:lineRule="auto"/>
        <w:ind w:left="1260" w:hanging="1260"/>
        <w:rPr>
          <w:rFonts w:ascii="宋体" w:hAnsi="宋体" w:cs="Arial"/>
          <w:sz w:val="24"/>
        </w:rPr>
      </w:pPr>
      <w:r>
        <w:rPr>
          <w:rFonts w:ascii="宋体" w:hAnsi="宋体" w:cs="Arial"/>
          <w:sz w:val="24"/>
        </w:rPr>
        <w:t>第十</w:t>
      </w:r>
      <w:r>
        <w:rPr>
          <w:rFonts w:hint="eastAsia" w:ascii="宋体" w:hAnsi="宋体" w:cs="Arial"/>
          <w:sz w:val="24"/>
        </w:rPr>
        <w:t>七</w:t>
      </w:r>
      <w:r>
        <w:rPr>
          <w:rFonts w:ascii="宋体" w:hAnsi="宋体" w:cs="Arial"/>
          <w:bCs/>
          <w:sz w:val="24"/>
        </w:rPr>
        <w:t>条</w:t>
      </w:r>
      <w:r>
        <w:rPr>
          <w:rFonts w:hint="eastAsia" w:ascii="宋体" w:hAnsi="宋体" w:cs="Arial"/>
          <w:sz w:val="24"/>
        </w:rPr>
        <w:tab/>
      </w:r>
      <w:r>
        <w:rPr>
          <w:rFonts w:ascii="宋体" w:hAnsi="宋体" w:cs="Arial"/>
          <w:sz w:val="24"/>
        </w:rPr>
        <w:t>公司董事会办公室为公司投资者关系工作专职部门, 负责公司投资者关系工作事务。</w:t>
      </w:r>
    </w:p>
    <w:p w14:paraId="26395813">
      <w:pPr>
        <w:spacing w:line="312" w:lineRule="auto"/>
        <w:ind w:left="479"/>
        <w:rPr>
          <w:rFonts w:ascii="宋体" w:hAnsi="宋体" w:cs="Arial"/>
          <w:sz w:val="24"/>
        </w:rPr>
      </w:pPr>
    </w:p>
    <w:p w14:paraId="08A92467">
      <w:pPr>
        <w:spacing w:line="312" w:lineRule="auto"/>
        <w:ind w:left="1260" w:hanging="1260"/>
        <w:rPr>
          <w:rFonts w:ascii="宋体" w:hAnsi="宋体" w:cs="Arial"/>
          <w:sz w:val="24"/>
        </w:rPr>
      </w:pPr>
      <w:r>
        <w:rPr>
          <w:rFonts w:ascii="宋体" w:hAnsi="宋体" w:cs="Arial"/>
          <w:bCs/>
          <w:sz w:val="24"/>
        </w:rPr>
        <w:t>第</w:t>
      </w:r>
      <w:r>
        <w:rPr>
          <w:rFonts w:hint="eastAsia" w:ascii="宋体" w:hAnsi="宋体" w:cs="Arial"/>
          <w:bCs/>
          <w:sz w:val="24"/>
        </w:rPr>
        <w:t>十八</w:t>
      </w:r>
      <w:r>
        <w:rPr>
          <w:rFonts w:ascii="宋体" w:hAnsi="宋体" w:cs="Arial"/>
          <w:bCs/>
          <w:sz w:val="24"/>
        </w:rPr>
        <w:t>条</w:t>
      </w:r>
      <w:r>
        <w:rPr>
          <w:rFonts w:hint="eastAsia" w:ascii="宋体" w:hAnsi="宋体" w:cs="Arial"/>
          <w:bCs/>
          <w:sz w:val="24"/>
        </w:rPr>
        <w:tab/>
      </w:r>
      <w:r>
        <w:rPr>
          <w:rFonts w:hint="eastAsia" w:ascii="宋体" w:hAnsi="宋体" w:cs="Arial"/>
          <w:bCs/>
          <w:sz w:val="24"/>
        </w:rPr>
        <w:t>公司</w:t>
      </w:r>
      <w:r>
        <w:rPr>
          <w:rFonts w:ascii="宋体" w:hAnsi="宋体" w:cs="Arial"/>
          <w:bCs/>
          <w:sz w:val="24"/>
        </w:rPr>
        <w:t>投</w:t>
      </w:r>
      <w:r>
        <w:rPr>
          <w:rFonts w:ascii="宋体" w:hAnsi="宋体" w:cs="Arial"/>
          <w:sz w:val="24"/>
        </w:rPr>
        <w:t>资者关系</w:t>
      </w:r>
      <w:r>
        <w:rPr>
          <w:rFonts w:hint="eastAsia" w:ascii="宋体" w:hAnsi="宋体" w:cs="Arial"/>
          <w:sz w:val="24"/>
        </w:rPr>
        <w:t>管理</w:t>
      </w:r>
      <w:r>
        <w:rPr>
          <w:rFonts w:ascii="宋体" w:hAnsi="宋体" w:cs="Arial"/>
          <w:sz w:val="24"/>
        </w:rPr>
        <w:t>工作的主要职责是:</w:t>
      </w:r>
    </w:p>
    <w:p w14:paraId="31A0F9BB">
      <w:pPr>
        <w:numPr>
          <w:ilvl w:val="0"/>
          <w:numId w:val="7"/>
        </w:numPr>
        <w:tabs>
          <w:tab w:val="left" w:pos="1980"/>
          <w:tab w:val="clear" w:pos="959"/>
        </w:tabs>
        <w:spacing w:line="312" w:lineRule="auto"/>
        <w:ind w:left="1980" w:hanging="720"/>
        <w:rPr>
          <w:rFonts w:ascii="宋体" w:hAnsi="宋体" w:cs="Arial"/>
          <w:sz w:val="24"/>
        </w:rPr>
      </w:pPr>
      <w:r>
        <w:rPr>
          <w:rFonts w:hint="eastAsia" w:ascii="宋体" w:hAnsi="宋体" w:cs="Arial"/>
          <w:bCs/>
          <w:sz w:val="24"/>
        </w:rPr>
        <w:t>拟定投资者关系管理制度,</w:t>
      </w:r>
      <w:r>
        <w:rPr>
          <w:rFonts w:ascii="宋体" w:hAnsi="宋体" w:cs="Arial"/>
          <w:bCs/>
          <w:sz w:val="24"/>
        </w:rPr>
        <w:t xml:space="preserve"> </w:t>
      </w:r>
      <w:r>
        <w:rPr>
          <w:rFonts w:hint="eastAsia" w:ascii="宋体" w:hAnsi="宋体" w:cs="Arial"/>
          <w:bCs/>
          <w:sz w:val="24"/>
        </w:rPr>
        <w:t>建立工作机制</w:t>
      </w:r>
      <w:r>
        <w:rPr>
          <w:rFonts w:ascii="宋体" w:hAnsi="宋体" w:cs="Arial"/>
          <w:sz w:val="24"/>
        </w:rPr>
        <w:t>。</w:t>
      </w:r>
    </w:p>
    <w:p w14:paraId="75093B0C">
      <w:pPr>
        <w:numPr>
          <w:ilvl w:val="0"/>
          <w:numId w:val="7"/>
        </w:numPr>
        <w:tabs>
          <w:tab w:val="left" w:pos="1980"/>
          <w:tab w:val="clear" w:pos="959"/>
        </w:tabs>
        <w:spacing w:line="312" w:lineRule="auto"/>
        <w:ind w:left="1980" w:hanging="720"/>
        <w:rPr>
          <w:rFonts w:ascii="宋体" w:hAnsi="宋体" w:cs="Arial"/>
          <w:sz w:val="24"/>
        </w:rPr>
      </w:pPr>
      <w:r>
        <w:rPr>
          <w:rFonts w:hint="eastAsia" w:ascii="宋体" w:hAnsi="宋体" w:cs="Arial"/>
          <w:bCs/>
          <w:sz w:val="24"/>
        </w:rPr>
        <w:t>组织与投资者沟通联络的投资者关系管理活动</w:t>
      </w:r>
      <w:r>
        <w:rPr>
          <w:rFonts w:ascii="宋体" w:hAnsi="宋体" w:cs="Arial"/>
          <w:sz w:val="24"/>
        </w:rPr>
        <w:t>。</w:t>
      </w:r>
    </w:p>
    <w:p w14:paraId="3013A57E">
      <w:pPr>
        <w:numPr>
          <w:ilvl w:val="0"/>
          <w:numId w:val="7"/>
        </w:numPr>
        <w:tabs>
          <w:tab w:val="left" w:pos="1980"/>
          <w:tab w:val="clear" w:pos="959"/>
        </w:tabs>
        <w:spacing w:line="312" w:lineRule="auto"/>
        <w:ind w:left="1980" w:hanging="720"/>
        <w:rPr>
          <w:rFonts w:ascii="宋体" w:hAnsi="宋体" w:cs="Arial"/>
          <w:sz w:val="24"/>
        </w:rPr>
      </w:pPr>
      <w:r>
        <w:rPr>
          <w:rFonts w:hint="eastAsia" w:ascii="宋体" w:hAnsi="宋体" w:cs="Arial"/>
          <w:bCs/>
          <w:sz w:val="24"/>
        </w:rPr>
        <w:t>组织及时妥善处理投资者咨询、投诉和建议等诉求,</w:t>
      </w:r>
      <w:r>
        <w:rPr>
          <w:rFonts w:ascii="宋体" w:hAnsi="宋体" w:cs="Arial"/>
          <w:bCs/>
          <w:sz w:val="24"/>
        </w:rPr>
        <w:t xml:space="preserve"> </w:t>
      </w:r>
      <w:r>
        <w:rPr>
          <w:rFonts w:hint="eastAsia" w:ascii="宋体" w:hAnsi="宋体" w:cs="Arial"/>
          <w:bCs/>
          <w:sz w:val="24"/>
        </w:rPr>
        <w:t>定期反馈给公司董事会以及管理层</w:t>
      </w:r>
      <w:r>
        <w:rPr>
          <w:rFonts w:ascii="宋体" w:hAnsi="宋体" w:cs="Arial"/>
          <w:sz w:val="24"/>
        </w:rPr>
        <w:t>。</w:t>
      </w:r>
    </w:p>
    <w:p w14:paraId="6E2E28F0">
      <w:pPr>
        <w:numPr>
          <w:ilvl w:val="0"/>
          <w:numId w:val="7"/>
        </w:numPr>
        <w:tabs>
          <w:tab w:val="left" w:pos="1980"/>
          <w:tab w:val="clear" w:pos="959"/>
        </w:tabs>
        <w:spacing w:line="312" w:lineRule="auto"/>
        <w:ind w:left="1980" w:hanging="720"/>
        <w:rPr>
          <w:rFonts w:ascii="宋体" w:hAnsi="宋体" w:cs="Arial"/>
          <w:sz w:val="24"/>
        </w:rPr>
      </w:pPr>
      <w:r>
        <w:rPr>
          <w:rFonts w:hint="eastAsia" w:ascii="宋体" w:hAnsi="宋体" w:cs="Arial"/>
          <w:sz w:val="24"/>
        </w:rPr>
        <w:t>管理、运行和维护投资者关系管理的相关渠道和平台。</w:t>
      </w:r>
    </w:p>
    <w:p w14:paraId="1778E9F7">
      <w:pPr>
        <w:numPr>
          <w:ilvl w:val="0"/>
          <w:numId w:val="7"/>
        </w:numPr>
        <w:tabs>
          <w:tab w:val="left" w:pos="1980"/>
          <w:tab w:val="clear" w:pos="959"/>
        </w:tabs>
        <w:spacing w:line="312" w:lineRule="auto"/>
        <w:ind w:left="1980" w:hanging="720"/>
        <w:rPr>
          <w:rFonts w:ascii="宋体" w:hAnsi="宋体" w:cs="Arial"/>
          <w:sz w:val="24"/>
        </w:rPr>
      </w:pPr>
      <w:r>
        <w:rPr>
          <w:rFonts w:hint="eastAsia" w:ascii="宋体" w:hAnsi="宋体" w:cs="Arial"/>
          <w:sz w:val="24"/>
        </w:rPr>
        <w:t>保障投资者依法行使股东权利。</w:t>
      </w:r>
    </w:p>
    <w:p w14:paraId="41F364D4">
      <w:pPr>
        <w:numPr>
          <w:ilvl w:val="0"/>
          <w:numId w:val="7"/>
        </w:numPr>
        <w:tabs>
          <w:tab w:val="left" w:pos="1980"/>
          <w:tab w:val="clear" w:pos="959"/>
        </w:tabs>
        <w:spacing w:line="312" w:lineRule="auto"/>
        <w:ind w:left="1980" w:hanging="720"/>
        <w:rPr>
          <w:rFonts w:ascii="宋体" w:hAnsi="宋体" w:cs="Arial"/>
          <w:sz w:val="24"/>
        </w:rPr>
      </w:pPr>
      <w:r>
        <w:rPr>
          <w:rFonts w:hint="eastAsia" w:ascii="宋体" w:hAnsi="宋体" w:cs="Arial"/>
          <w:sz w:val="24"/>
        </w:rPr>
        <w:t>配合支持投资者保护机构开展维护投资者合法权益的相关工作。</w:t>
      </w:r>
    </w:p>
    <w:p w14:paraId="4408F811">
      <w:pPr>
        <w:numPr>
          <w:ilvl w:val="0"/>
          <w:numId w:val="7"/>
        </w:numPr>
        <w:tabs>
          <w:tab w:val="left" w:pos="1980"/>
          <w:tab w:val="clear" w:pos="959"/>
        </w:tabs>
        <w:spacing w:line="312" w:lineRule="auto"/>
        <w:ind w:left="1980" w:hanging="720"/>
        <w:rPr>
          <w:rFonts w:ascii="宋体" w:hAnsi="宋体" w:cs="Arial"/>
          <w:sz w:val="24"/>
        </w:rPr>
      </w:pPr>
      <w:r>
        <w:rPr>
          <w:rFonts w:hint="eastAsia" w:ascii="宋体" w:hAnsi="宋体" w:cs="Arial"/>
          <w:sz w:val="24"/>
        </w:rPr>
        <w:t>统计分析公司投资者的数量、构成以及变动等情况。</w:t>
      </w:r>
    </w:p>
    <w:p w14:paraId="55480981">
      <w:pPr>
        <w:numPr>
          <w:ilvl w:val="0"/>
          <w:numId w:val="7"/>
        </w:numPr>
        <w:tabs>
          <w:tab w:val="left" w:pos="1980"/>
          <w:tab w:val="clear" w:pos="959"/>
        </w:tabs>
        <w:spacing w:line="312" w:lineRule="auto"/>
        <w:ind w:left="1980" w:hanging="720"/>
        <w:rPr>
          <w:rFonts w:ascii="宋体" w:hAnsi="宋体" w:cs="Arial"/>
          <w:sz w:val="24"/>
        </w:rPr>
      </w:pPr>
      <w:r>
        <w:rPr>
          <w:rFonts w:hint="eastAsia" w:ascii="宋体" w:hAnsi="宋体" w:cs="Arial"/>
          <w:sz w:val="24"/>
        </w:rPr>
        <w:t>开展有利于改善投资者关系的其他活动。</w:t>
      </w:r>
    </w:p>
    <w:p w14:paraId="2EBEE816">
      <w:pPr>
        <w:spacing w:line="312" w:lineRule="auto"/>
        <w:rPr>
          <w:rFonts w:ascii="宋体" w:hAnsi="宋体" w:cs="Arial"/>
          <w:sz w:val="24"/>
        </w:rPr>
      </w:pPr>
    </w:p>
    <w:p w14:paraId="204B83B7">
      <w:pPr>
        <w:spacing w:line="312" w:lineRule="auto"/>
        <w:ind w:left="1260" w:hanging="1260"/>
        <w:rPr>
          <w:rFonts w:ascii="宋体" w:hAnsi="宋体" w:cs="Arial"/>
          <w:sz w:val="24"/>
        </w:rPr>
      </w:pPr>
      <w:r>
        <w:rPr>
          <w:rFonts w:ascii="宋体" w:hAnsi="宋体" w:cs="Arial"/>
          <w:bCs/>
          <w:sz w:val="24"/>
        </w:rPr>
        <w:t>第</w:t>
      </w:r>
      <w:r>
        <w:rPr>
          <w:rFonts w:hint="eastAsia" w:ascii="宋体" w:hAnsi="宋体" w:cs="Arial"/>
          <w:bCs/>
          <w:sz w:val="24"/>
        </w:rPr>
        <w:t>十九</w:t>
      </w:r>
      <w:r>
        <w:rPr>
          <w:rFonts w:ascii="宋体" w:hAnsi="宋体" w:cs="Arial"/>
          <w:bCs/>
          <w:sz w:val="24"/>
        </w:rPr>
        <w:t>条</w:t>
      </w:r>
      <w:r>
        <w:rPr>
          <w:rFonts w:hint="eastAsia" w:ascii="宋体" w:hAnsi="宋体" w:cs="Arial"/>
          <w:bCs/>
          <w:sz w:val="24"/>
        </w:rPr>
        <w:tab/>
      </w:r>
      <w:r>
        <w:rPr>
          <w:rFonts w:hint="eastAsia" w:ascii="宋体" w:hAnsi="宋体" w:cs="Arial"/>
          <w:bCs/>
          <w:sz w:val="24"/>
        </w:rPr>
        <w:t>公司从事投资者关系管理工作的人员需要具备以下素质和技能</w:t>
      </w:r>
      <w:r>
        <w:rPr>
          <w:rFonts w:ascii="宋体" w:hAnsi="宋体" w:cs="Arial"/>
          <w:sz w:val="24"/>
        </w:rPr>
        <w:t>:</w:t>
      </w:r>
    </w:p>
    <w:p w14:paraId="027F34D9">
      <w:pPr>
        <w:spacing w:line="312" w:lineRule="auto"/>
        <w:rPr>
          <w:rFonts w:ascii="宋体" w:hAnsi="宋体" w:cs="Arial"/>
          <w:sz w:val="24"/>
        </w:rPr>
      </w:pPr>
    </w:p>
    <w:p w14:paraId="3EE412E7">
      <w:pPr>
        <w:numPr>
          <w:ilvl w:val="0"/>
          <w:numId w:val="8"/>
        </w:numPr>
        <w:tabs>
          <w:tab w:val="left" w:pos="1980"/>
        </w:tabs>
        <w:spacing w:line="312" w:lineRule="auto"/>
        <w:ind w:left="1980" w:hanging="720"/>
        <w:rPr>
          <w:rFonts w:ascii="宋体" w:hAnsi="宋体" w:cs="Arial"/>
          <w:sz w:val="24"/>
        </w:rPr>
      </w:pPr>
      <w:r>
        <w:rPr>
          <w:rFonts w:hint="eastAsia" w:ascii="宋体" w:hAnsi="宋体" w:cs="Arial"/>
          <w:sz w:val="24"/>
        </w:rPr>
        <w:t>良好的品行和职业素养,</w:t>
      </w:r>
      <w:r>
        <w:rPr>
          <w:rFonts w:ascii="宋体" w:hAnsi="宋体" w:cs="Arial"/>
          <w:sz w:val="24"/>
        </w:rPr>
        <w:t xml:space="preserve"> </w:t>
      </w:r>
      <w:r>
        <w:rPr>
          <w:rFonts w:hint="eastAsia" w:ascii="宋体" w:hAnsi="宋体" w:cs="Arial"/>
          <w:sz w:val="24"/>
        </w:rPr>
        <w:t>诚实守信;</w:t>
      </w:r>
    </w:p>
    <w:p w14:paraId="75AC6BDB">
      <w:pPr>
        <w:numPr>
          <w:ilvl w:val="0"/>
          <w:numId w:val="8"/>
        </w:numPr>
        <w:tabs>
          <w:tab w:val="left" w:pos="1980"/>
        </w:tabs>
        <w:spacing w:line="312" w:lineRule="auto"/>
        <w:ind w:left="1980" w:hanging="720"/>
        <w:rPr>
          <w:rFonts w:ascii="宋体" w:hAnsi="宋体" w:cs="Arial"/>
          <w:sz w:val="24"/>
        </w:rPr>
      </w:pPr>
      <w:r>
        <w:rPr>
          <w:rFonts w:hint="eastAsia" w:ascii="宋体" w:hAnsi="宋体" w:cs="Arial"/>
          <w:sz w:val="24"/>
        </w:rPr>
        <w:t>良好的专业知识结构,</w:t>
      </w:r>
      <w:r>
        <w:rPr>
          <w:rFonts w:ascii="宋体" w:hAnsi="宋体" w:cs="Arial"/>
          <w:sz w:val="24"/>
        </w:rPr>
        <w:t xml:space="preserve"> </w:t>
      </w:r>
      <w:r>
        <w:rPr>
          <w:rFonts w:hint="eastAsia" w:ascii="宋体" w:hAnsi="宋体" w:cs="Arial"/>
          <w:sz w:val="24"/>
        </w:rPr>
        <w:t>熟悉公司治理、财务会计等相关法律、法规和证券市场的运作机制;</w:t>
      </w:r>
    </w:p>
    <w:p w14:paraId="45600EDC">
      <w:pPr>
        <w:numPr>
          <w:ilvl w:val="0"/>
          <w:numId w:val="8"/>
        </w:numPr>
        <w:tabs>
          <w:tab w:val="left" w:pos="1980"/>
        </w:tabs>
        <w:spacing w:line="312" w:lineRule="auto"/>
        <w:ind w:left="1980" w:hanging="720"/>
        <w:rPr>
          <w:rFonts w:ascii="宋体" w:hAnsi="宋体" w:cs="Arial"/>
          <w:sz w:val="24"/>
        </w:rPr>
      </w:pPr>
      <w:r>
        <w:rPr>
          <w:rFonts w:hint="eastAsia" w:ascii="宋体" w:hAnsi="宋体" w:cs="Arial"/>
          <w:sz w:val="24"/>
        </w:rPr>
        <w:t>良好的沟通和协调能力;</w:t>
      </w:r>
    </w:p>
    <w:p w14:paraId="25BC781F">
      <w:pPr>
        <w:numPr>
          <w:ilvl w:val="0"/>
          <w:numId w:val="8"/>
        </w:numPr>
        <w:tabs>
          <w:tab w:val="left" w:pos="1980"/>
        </w:tabs>
        <w:spacing w:line="312" w:lineRule="auto"/>
        <w:ind w:left="1980" w:hanging="720"/>
        <w:rPr>
          <w:rFonts w:ascii="宋体" w:hAnsi="宋体" w:cs="Arial"/>
          <w:sz w:val="24"/>
        </w:rPr>
      </w:pPr>
      <w:r>
        <w:rPr>
          <w:rFonts w:hint="eastAsia" w:ascii="宋体" w:hAnsi="宋体" w:cs="Arial"/>
          <w:sz w:val="24"/>
        </w:rPr>
        <w:t>全面了解公司以及公司所处行业的情况。</w:t>
      </w:r>
    </w:p>
    <w:p w14:paraId="5EAD7049">
      <w:pPr>
        <w:tabs>
          <w:tab w:val="left" w:pos="1980"/>
        </w:tabs>
        <w:spacing w:line="312" w:lineRule="auto"/>
        <w:rPr>
          <w:rFonts w:ascii="宋体" w:hAnsi="宋体" w:cs="Arial"/>
          <w:sz w:val="24"/>
        </w:rPr>
      </w:pPr>
    </w:p>
    <w:p w14:paraId="4C263BA3">
      <w:pPr>
        <w:spacing w:line="312" w:lineRule="auto"/>
        <w:ind w:left="1260" w:firstLine="14"/>
        <w:rPr>
          <w:rFonts w:ascii="宋体" w:hAnsi="宋体" w:cs="Arial"/>
          <w:sz w:val="24"/>
        </w:rPr>
      </w:pPr>
      <w:r>
        <w:rPr>
          <w:rFonts w:hint="eastAsia" w:ascii="宋体" w:hAnsi="宋体" w:cs="Arial"/>
          <w:sz w:val="24"/>
        </w:rPr>
        <w:t>公司应当定期对控股股东、实际控制人、董事、高级管理人员及相关人员进行投资者关系管理的系统培训, 鼓励参加中国证监会及其派出机构和证券交易所、证券登记结算机构、上市公司协会等举办的相关培训,</w:t>
      </w:r>
      <w:r>
        <w:rPr>
          <w:rFonts w:ascii="宋体" w:hAnsi="宋体" w:cs="Arial"/>
          <w:sz w:val="24"/>
        </w:rPr>
        <w:t xml:space="preserve"> </w:t>
      </w:r>
      <w:r>
        <w:rPr>
          <w:rFonts w:hint="eastAsia" w:ascii="宋体" w:hAnsi="宋体" w:cs="Arial"/>
          <w:sz w:val="24"/>
        </w:rPr>
        <w:t>增强其对相关法律法规、深圳证券交易所相关规则和公司规章制度的理解。</w:t>
      </w:r>
      <w:r>
        <w:rPr>
          <w:rFonts w:ascii="宋体" w:hAnsi="宋体" w:cs="Arial"/>
          <w:sz w:val="24"/>
        </w:rPr>
        <w:cr/>
      </w:r>
    </w:p>
    <w:p w14:paraId="336FA4D7">
      <w:pPr>
        <w:spacing w:line="312" w:lineRule="auto"/>
        <w:ind w:left="1260" w:hanging="1260"/>
        <w:rPr>
          <w:rFonts w:ascii="宋体" w:hAnsi="宋体" w:cs="Arial"/>
          <w:sz w:val="24"/>
        </w:rPr>
      </w:pPr>
      <w:r>
        <w:rPr>
          <w:rFonts w:ascii="宋体" w:hAnsi="宋体" w:cs="Arial"/>
          <w:bCs/>
          <w:sz w:val="24"/>
        </w:rPr>
        <w:t>第二十条</w:t>
      </w:r>
      <w:r>
        <w:rPr>
          <w:rFonts w:hint="eastAsia" w:ascii="宋体" w:hAnsi="宋体" w:cs="Arial"/>
          <w:bCs/>
          <w:sz w:val="24"/>
        </w:rPr>
        <w:tab/>
      </w:r>
      <w:r>
        <w:rPr>
          <w:rFonts w:ascii="宋体" w:hAnsi="宋体" w:cs="Arial"/>
          <w:bCs/>
          <w:sz w:val="24"/>
        </w:rPr>
        <w:t>公</w:t>
      </w:r>
      <w:r>
        <w:rPr>
          <w:rFonts w:ascii="宋体" w:hAnsi="宋体" w:cs="Arial"/>
          <w:sz w:val="24"/>
        </w:rPr>
        <w:t>司应建立良好的内部协调机制和信息采集制度。董事会办公室应及时归集各部门及下属公司的生产经营、财务、诉讼等信息, 公司各部门及下属公司应积极配合。</w:t>
      </w:r>
    </w:p>
    <w:p w14:paraId="035D4298">
      <w:pPr>
        <w:spacing w:line="312" w:lineRule="auto"/>
        <w:ind w:left="479"/>
        <w:rPr>
          <w:rFonts w:ascii="宋体" w:hAnsi="宋体" w:cs="Arial"/>
          <w:sz w:val="24"/>
        </w:rPr>
      </w:pPr>
    </w:p>
    <w:p w14:paraId="3A2EFF41">
      <w:pPr>
        <w:spacing w:line="312" w:lineRule="auto"/>
        <w:ind w:left="1260" w:hanging="1260"/>
        <w:rPr>
          <w:rFonts w:ascii="宋体" w:hAnsi="宋体" w:cs="Arial"/>
          <w:sz w:val="24"/>
        </w:rPr>
      </w:pPr>
      <w:r>
        <w:rPr>
          <w:rFonts w:ascii="宋体" w:hAnsi="宋体" w:cs="Arial"/>
          <w:sz w:val="24"/>
        </w:rPr>
        <w:t>第二十</w:t>
      </w:r>
      <w:r>
        <w:rPr>
          <w:rFonts w:hint="eastAsia" w:ascii="宋体" w:hAnsi="宋体" w:cs="Arial"/>
          <w:sz w:val="24"/>
        </w:rPr>
        <w:t>一</w:t>
      </w:r>
      <w:r>
        <w:rPr>
          <w:rFonts w:ascii="宋体" w:hAnsi="宋体" w:cs="Arial"/>
          <w:bCs/>
          <w:sz w:val="24"/>
        </w:rPr>
        <w:t>条</w:t>
      </w:r>
      <w:r>
        <w:rPr>
          <w:rFonts w:hint="eastAsia" w:ascii="宋体" w:hAnsi="宋体" w:cs="Arial"/>
          <w:bCs/>
          <w:sz w:val="24"/>
        </w:rPr>
        <w:tab/>
      </w:r>
      <w:r>
        <w:rPr>
          <w:rFonts w:ascii="宋体" w:hAnsi="宋体" w:cs="Arial"/>
          <w:bCs/>
          <w:sz w:val="24"/>
        </w:rPr>
        <w:t>除</w:t>
      </w:r>
      <w:r>
        <w:rPr>
          <w:rFonts w:ascii="宋体" w:hAnsi="宋体" w:cs="Arial"/>
          <w:sz w:val="24"/>
        </w:rPr>
        <w:t>非得到明确授权</w:t>
      </w:r>
      <w:r>
        <w:rPr>
          <w:rFonts w:hint="eastAsia" w:ascii="宋体" w:hAnsi="宋体" w:cs="Arial"/>
          <w:sz w:val="24"/>
        </w:rPr>
        <w:t>并经过培训</w:t>
      </w:r>
      <w:r>
        <w:rPr>
          <w:rFonts w:ascii="宋体" w:hAnsi="宋体" w:cs="Arial"/>
          <w:sz w:val="24"/>
        </w:rPr>
        <w:t>, 公司</w:t>
      </w:r>
      <w:r>
        <w:rPr>
          <w:rFonts w:hint="eastAsia" w:ascii="宋体" w:hAnsi="宋体" w:cs="Arial"/>
          <w:sz w:val="24"/>
        </w:rPr>
        <w:t>其他董事、</w:t>
      </w:r>
      <w:r>
        <w:rPr>
          <w:rFonts w:ascii="宋体" w:hAnsi="宋体" w:cs="Arial"/>
          <w:sz w:val="24"/>
        </w:rPr>
        <w:t>高级管理人员和员工</w:t>
      </w:r>
      <w:r>
        <w:rPr>
          <w:rFonts w:hint="eastAsia" w:ascii="宋体" w:hAnsi="宋体" w:cs="Arial"/>
          <w:sz w:val="24"/>
        </w:rPr>
        <w:t>应当避免在投资者关系活动中代表公司发言</w:t>
      </w:r>
      <w:r>
        <w:rPr>
          <w:rFonts w:ascii="宋体" w:hAnsi="宋体" w:cs="Arial"/>
          <w:sz w:val="24"/>
        </w:rPr>
        <w:t>。</w:t>
      </w:r>
    </w:p>
    <w:p w14:paraId="5A15FDC5">
      <w:pPr>
        <w:spacing w:line="312" w:lineRule="auto"/>
        <w:ind w:left="479"/>
        <w:rPr>
          <w:rFonts w:ascii="宋体" w:hAnsi="宋体" w:cs="Arial"/>
          <w:sz w:val="24"/>
        </w:rPr>
      </w:pPr>
    </w:p>
    <w:p w14:paraId="7BEA6A4F">
      <w:pPr>
        <w:spacing w:line="312" w:lineRule="auto"/>
        <w:ind w:left="1260" w:hanging="1260"/>
        <w:rPr>
          <w:rFonts w:ascii="宋体" w:hAnsi="宋体" w:cs="Arial"/>
          <w:sz w:val="24"/>
        </w:rPr>
      </w:pPr>
      <w:r>
        <w:rPr>
          <w:rFonts w:ascii="宋体" w:hAnsi="宋体" w:cs="Arial"/>
          <w:sz w:val="24"/>
        </w:rPr>
        <w:t>第二十</w:t>
      </w:r>
      <w:r>
        <w:rPr>
          <w:rFonts w:hint="eastAsia" w:ascii="宋体" w:hAnsi="宋体" w:cs="Arial"/>
          <w:sz w:val="24"/>
        </w:rPr>
        <w:t>二</w:t>
      </w:r>
      <w:r>
        <w:rPr>
          <w:rFonts w:ascii="宋体" w:hAnsi="宋体" w:cs="Arial"/>
          <w:bCs/>
          <w:sz w:val="24"/>
        </w:rPr>
        <w:t>条</w:t>
      </w:r>
      <w:r>
        <w:rPr>
          <w:rFonts w:hint="eastAsia" w:ascii="宋体" w:hAnsi="宋体" w:cs="Arial"/>
          <w:bCs/>
          <w:sz w:val="24"/>
        </w:rPr>
        <w:tab/>
      </w:r>
      <w:r>
        <w:rPr>
          <w:rFonts w:ascii="宋体" w:hAnsi="宋体" w:cs="Arial"/>
          <w:bCs/>
          <w:sz w:val="24"/>
        </w:rPr>
        <w:t>公</w:t>
      </w:r>
      <w:r>
        <w:rPr>
          <w:rFonts w:ascii="宋体" w:hAnsi="宋体" w:cs="Arial"/>
          <w:sz w:val="24"/>
        </w:rPr>
        <w:t>司可聘请专业的投资者关系工作机构协助实施投资者关系工作。</w:t>
      </w:r>
    </w:p>
    <w:p w14:paraId="2079F2BC">
      <w:pPr>
        <w:spacing w:line="312" w:lineRule="auto"/>
        <w:ind w:left="479"/>
        <w:rPr>
          <w:rFonts w:ascii="宋体" w:hAnsi="宋体" w:cs="Arial"/>
          <w:sz w:val="24"/>
        </w:rPr>
      </w:pPr>
    </w:p>
    <w:p w14:paraId="0D83E0F5">
      <w:pPr>
        <w:numPr>
          <w:ilvl w:val="0"/>
          <w:numId w:val="1"/>
        </w:numPr>
        <w:spacing w:line="312" w:lineRule="auto"/>
        <w:jc w:val="center"/>
        <w:rPr>
          <w:rFonts w:ascii="宋体" w:hAnsi="宋体" w:cs="Arial"/>
          <w:b/>
          <w:bCs/>
          <w:sz w:val="24"/>
        </w:rPr>
      </w:pPr>
      <w:r>
        <w:rPr>
          <w:rFonts w:hint="eastAsia" w:ascii="宋体" w:hAnsi="宋体" w:cs="Arial"/>
          <w:b/>
          <w:bCs/>
          <w:sz w:val="24"/>
        </w:rPr>
        <w:t>投资者接待和推广</w:t>
      </w:r>
    </w:p>
    <w:p w14:paraId="4DC5820E">
      <w:pPr>
        <w:spacing w:line="312" w:lineRule="auto"/>
        <w:rPr>
          <w:rFonts w:ascii="宋体" w:hAnsi="宋体" w:cs="Arial"/>
          <w:b/>
          <w:bCs/>
          <w:sz w:val="24"/>
        </w:rPr>
      </w:pPr>
    </w:p>
    <w:p w14:paraId="5544557F">
      <w:pPr>
        <w:spacing w:line="312" w:lineRule="auto"/>
        <w:ind w:left="1260" w:hanging="1260"/>
        <w:rPr>
          <w:rFonts w:ascii="宋体" w:hAnsi="宋体" w:cs="Arial"/>
          <w:bCs/>
          <w:sz w:val="24"/>
        </w:rPr>
      </w:pPr>
      <w:r>
        <w:rPr>
          <w:rFonts w:ascii="宋体" w:hAnsi="宋体" w:cs="Arial"/>
          <w:bCs/>
          <w:sz w:val="24"/>
        </w:rPr>
        <w:t>第二十</w:t>
      </w:r>
      <w:r>
        <w:rPr>
          <w:rFonts w:hint="eastAsia" w:ascii="宋体" w:hAnsi="宋体" w:cs="Arial"/>
          <w:bCs/>
          <w:sz w:val="24"/>
        </w:rPr>
        <w:t>三</w:t>
      </w:r>
      <w:r>
        <w:rPr>
          <w:rFonts w:ascii="宋体" w:hAnsi="宋体" w:cs="Arial"/>
          <w:bCs/>
          <w:sz w:val="24"/>
        </w:rPr>
        <w:t>条</w:t>
      </w:r>
      <w:r>
        <w:rPr>
          <w:rFonts w:ascii="宋体" w:hAnsi="宋体" w:cs="Arial"/>
          <w:bCs/>
          <w:sz w:val="24"/>
        </w:rPr>
        <w:tab/>
      </w:r>
      <w:r>
        <w:rPr>
          <w:rFonts w:hint="eastAsia" w:ascii="宋体" w:hAnsi="宋体" w:cs="Arial"/>
          <w:bCs/>
          <w:sz w:val="24"/>
        </w:rPr>
        <w:t>公司可安排投资者、基金经理、分析师等到公司现场参观、座谈沟通。公司应合理、妥善地安排参观过程, 以便参观人员了解公司业务和经营情况, 同时注意避免参观者有机会得到未公开的重要信息。</w:t>
      </w:r>
    </w:p>
    <w:p w14:paraId="10F5AA40">
      <w:pPr>
        <w:spacing w:line="312" w:lineRule="auto"/>
        <w:ind w:left="1260" w:hanging="1260"/>
        <w:rPr>
          <w:rFonts w:ascii="宋体" w:hAnsi="宋体" w:cs="Arial"/>
          <w:bCs/>
          <w:sz w:val="24"/>
        </w:rPr>
      </w:pPr>
    </w:p>
    <w:p w14:paraId="69A05764">
      <w:pPr>
        <w:spacing w:line="312" w:lineRule="auto"/>
        <w:ind w:left="1260" w:firstLine="14"/>
        <w:rPr>
          <w:rFonts w:ascii="宋体" w:hAnsi="宋体" w:cs="Arial"/>
          <w:bCs/>
          <w:sz w:val="24"/>
        </w:rPr>
      </w:pPr>
      <w:r>
        <w:rPr>
          <w:rFonts w:hint="eastAsia" w:ascii="宋体" w:hAnsi="宋体" w:cs="Arial"/>
          <w:bCs/>
          <w:sz w:val="24"/>
        </w:rPr>
        <w:t>公司可以通过路演、分析师会议等方式, 沟通交流公司情况, 回答问题并听取相关意见</w:t>
      </w:r>
      <w:r>
        <w:rPr>
          <w:rFonts w:hint="eastAsia" w:ascii="宋体" w:hAnsi="宋体" w:cs="Arial"/>
          <w:sz w:val="24"/>
        </w:rPr>
        <w:t>建议</w:t>
      </w:r>
      <w:r>
        <w:rPr>
          <w:rFonts w:hint="eastAsia" w:ascii="宋体" w:hAnsi="宋体" w:cs="Arial"/>
          <w:bCs/>
          <w:sz w:val="24"/>
        </w:rPr>
        <w:t>。</w:t>
      </w:r>
    </w:p>
    <w:p w14:paraId="376FBCCF">
      <w:pPr>
        <w:spacing w:line="312" w:lineRule="auto"/>
        <w:ind w:left="1260" w:firstLine="14"/>
        <w:rPr>
          <w:rFonts w:ascii="宋体" w:hAnsi="宋体" w:cs="Arial"/>
          <w:sz w:val="24"/>
        </w:rPr>
      </w:pPr>
    </w:p>
    <w:p w14:paraId="03074716">
      <w:pPr>
        <w:spacing w:line="312" w:lineRule="auto"/>
        <w:ind w:left="1260" w:hanging="1260"/>
        <w:rPr>
          <w:rFonts w:ascii="宋体" w:hAnsi="宋体" w:cs="Arial"/>
          <w:bCs/>
          <w:sz w:val="24"/>
        </w:rPr>
      </w:pPr>
      <w:r>
        <w:rPr>
          <w:rFonts w:ascii="宋体" w:hAnsi="宋体" w:cs="Arial"/>
          <w:bCs/>
          <w:sz w:val="24"/>
        </w:rPr>
        <w:t>第二十</w:t>
      </w:r>
      <w:r>
        <w:rPr>
          <w:rFonts w:hint="eastAsia" w:ascii="宋体" w:hAnsi="宋体" w:cs="Arial"/>
          <w:bCs/>
          <w:sz w:val="24"/>
        </w:rPr>
        <w:t>四</w:t>
      </w:r>
      <w:r>
        <w:rPr>
          <w:rFonts w:ascii="宋体" w:hAnsi="宋体" w:cs="Arial"/>
          <w:bCs/>
          <w:sz w:val="24"/>
        </w:rPr>
        <w:t>条</w:t>
      </w:r>
      <w:r>
        <w:rPr>
          <w:rFonts w:ascii="宋体" w:hAnsi="宋体" w:cs="Arial"/>
          <w:bCs/>
          <w:sz w:val="24"/>
        </w:rPr>
        <w:tab/>
      </w:r>
      <w:r>
        <w:rPr>
          <w:rFonts w:hint="eastAsia" w:ascii="宋体" w:hAnsi="宋体" w:cs="Arial"/>
          <w:bCs/>
          <w:sz w:val="24"/>
        </w:rPr>
        <w:t>董事会秘书全面负责公司接待和推广工作, 公司证券事务代表协助董事会秘书组织开展接待和推广工作, 公司董事会办公室是负责公司接待和推广具体工作的职能部门。</w:t>
      </w:r>
    </w:p>
    <w:p w14:paraId="475E9950">
      <w:pPr>
        <w:spacing w:line="312" w:lineRule="auto"/>
        <w:ind w:left="479"/>
        <w:rPr>
          <w:rFonts w:ascii="宋体" w:hAnsi="宋体" w:cs="Arial"/>
          <w:bCs/>
          <w:sz w:val="24"/>
        </w:rPr>
      </w:pPr>
    </w:p>
    <w:p w14:paraId="74600045">
      <w:pPr>
        <w:spacing w:line="312" w:lineRule="auto"/>
        <w:ind w:left="1260" w:hanging="1260"/>
        <w:rPr>
          <w:rFonts w:ascii="宋体" w:hAnsi="宋体" w:cs="Arial"/>
          <w:bCs/>
          <w:sz w:val="24"/>
        </w:rPr>
      </w:pPr>
      <w:r>
        <w:rPr>
          <w:rFonts w:ascii="宋体" w:hAnsi="宋体" w:cs="Arial"/>
          <w:bCs/>
          <w:sz w:val="24"/>
        </w:rPr>
        <w:t>第二十</w:t>
      </w:r>
      <w:r>
        <w:rPr>
          <w:rFonts w:hint="eastAsia" w:ascii="宋体" w:hAnsi="宋体" w:cs="Arial"/>
          <w:bCs/>
          <w:sz w:val="24"/>
        </w:rPr>
        <w:t>五</w:t>
      </w:r>
      <w:r>
        <w:rPr>
          <w:rFonts w:ascii="宋体" w:hAnsi="宋体" w:cs="Arial"/>
          <w:bCs/>
          <w:sz w:val="24"/>
        </w:rPr>
        <w:t>条</w:t>
      </w:r>
      <w:r>
        <w:rPr>
          <w:rFonts w:ascii="宋体" w:hAnsi="宋体" w:cs="Arial"/>
          <w:bCs/>
          <w:sz w:val="24"/>
        </w:rPr>
        <w:tab/>
      </w:r>
      <w:r>
        <w:rPr>
          <w:rFonts w:hint="eastAsia" w:ascii="宋体" w:hAnsi="宋体" w:cs="Arial"/>
          <w:bCs/>
          <w:sz w:val="24"/>
        </w:rPr>
        <w:t>公司接受从事证券分析、咨询及其他证券服务的机构及个人、从事证券投资的机构及个人、新闻媒体及其他机构或者个人(以下简称“调研机构及个人”)的调研或采访时, 应当妥善开展相关接待工作, 并按规定履行相应的信息披露义务。</w:t>
      </w:r>
    </w:p>
    <w:p w14:paraId="593D2562">
      <w:pPr>
        <w:spacing w:line="312" w:lineRule="auto"/>
        <w:ind w:left="1260" w:hanging="1260"/>
        <w:rPr>
          <w:rFonts w:ascii="宋体" w:hAnsi="宋体" w:cs="Arial"/>
          <w:bCs/>
          <w:sz w:val="24"/>
        </w:rPr>
      </w:pPr>
    </w:p>
    <w:p w14:paraId="1F829B68">
      <w:pPr>
        <w:spacing w:line="312" w:lineRule="auto"/>
        <w:ind w:left="1260" w:hanging="1260"/>
        <w:rPr>
          <w:rFonts w:ascii="宋体" w:hAnsi="宋体" w:cs="Arial"/>
          <w:bCs/>
          <w:sz w:val="24"/>
        </w:rPr>
      </w:pPr>
      <w:r>
        <w:rPr>
          <w:rFonts w:ascii="宋体" w:hAnsi="宋体" w:cs="Arial"/>
          <w:bCs/>
          <w:sz w:val="24"/>
        </w:rPr>
        <w:t>第二十</w:t>
      </w:r>
      <w:r>
        <w:rPr>
          <w:rFonts w:hint="eastAsia" w:ascii="宋体" w:hAnsi="宋体" w:cs="Arial"/>
          <w:bCs/>
          <w:sz w:val="24"/>
        </w:rPr>
        <w:t>六</w:t>
      </w:r>
      <w:r>
        <w:rPr>
          <w:rFonts w:ascii="宋体" w:hAnsi="宋体" w:cs="Arial"/>
          <w:bCs/>
          <w:sz w:val="24"/>
        </w:rPr>
        <w:t>条</w:t>
      </w:r>
      <w:r>
        <w:rPr>
          <w:rFonts w:ascii="宋体" w:hAnsi="宋体" w:cs="Arial"/>
          <w:bCs/>
          <w:sz w:val="24"/>
        </w:rPr>
        <w:tab/>
      </w:r>
      <w:r>
        <w:rPr>
          <w:rFonts w:hint="eastAsia" w:ascii="宋体" w:hAnsi="宋体" w:cs="Arial"/>
          <w:bCs/>
          <w:sz w:val="24"/>
        </w:rPr>
        <w:t>公司、调研机构及个人不得利用调研活动从事市场操纵、内幕交易或者其他违法违规行为。</w:t>
      </w:r>
    </w:p>
    <w:p w14:paraId="25D6CE5A">
      <w:pPr>
        <w:spacing w:line="312" w:lineRule="auto"/>
        <w:ind w:left="1260" w:hanging="1260"/>
        <w:rPr>
          <w:rFonts w:ascii="宋体" w:hAnsi="宋体" w:cs="Arial"/>
          <w:bCs/>
          <w:sz w:val="24"/>
        </w:rPr>
      </w:pPr>
    </w:p>
    <w:p w14:paraId="345BDFF8">
      <w:pPr>
        <w:spacing w:line="312" w:lineRule="auto"/>
        <w:ind w:left="1260" w:hanging="1260"/>
        <w:rPr>
          <w:rFonts w:ascii="宋体" w:hAnsi="宋体" w:cs="Arial"/>
          <w:bCs/>
          <w:sz w:val="24"/>
        </w:rPr>
      </w:pPr>
      <w:r>
        <w:rPr>
          <w:rFonts w:ascii="宋体" w:hAnsi="宋体" w:cs="Arial"/>
          <w:bCs/>
          <w:sz w:val="24"/>
        </w:rPr>
        <w:t>第二十</w:t>
      </w:r>
      <w:r>
        <w:rPr>
          <w:rFonts w:hint="eastAsia" w:ascii="宋体" w:hAnsi="宋体" w:cs="Arial"/>
          <w:bCs/>
          <w:sz w:val="24"/>
        </w:rPr>
        <w:t>七</w:t>
      </w:r>
      <w:r>
        <w:rPr>
          <w:rFonts w:ascii="宋体" w:hAnsi="宋体" w:cs="Arial"/>
          <w:bCs/>
          <w:sz w:val="24"/>
        </w:rPr>
        <w:t>条</w:t>
      </w:r>
      <w:r>
        <w:rPr>
          <w:rFonts w:ascii="宋体" w:hAnsi="宋体" w:cs="Arial"/>
          <w:bCs/>
          <w:sz w:val="24"/>
        </w:rPr>
        <w:tab/>
      </w:r>
      <w:r>
        <w:rPr>
          <w:rFonts w:hint="eastAsia" w:ascii="宋体" w:hAnsi="宋体" w:cs="Arial"/>
          <w:bCs/>
          <w:sz w:val="24"/>
        </w:rPr>
        <w:t>公司控股股东、实际控制人、董事、高级管理人员及其他员工在接受调研前,</w:t>
      </w:r>
      <w:r>
        <w:rPr>
          <w:rFonts w:ascii="宋体" w:hAnsi="宋体" w:cs="Arial"/>
          <w:bCs/>
          <w:sz w:val="24"/>
        </w:rPr>
        <w:t xml:space="preserve"> </w:t>
      </w:r>
      <w:r>
        <w:rPr>
          <w:rFonts w:hint="eastAsia" w:ascii="宋体" w:hAnsi="宋体" w:cs="Arial"/>
          <w:bCs/>
          <w:sz w:val="24"/>
        </w:rPr>
        <w:t>应当知会董事会秘书,</w:t>
      </w:r>
      <w:r>
        <w:rPr>
          <w:rFonts w:ascii="宋体" w:hAnsi="宋体" w:cs="Arial"/>
          <w:bCs/>
          <w:sz w:val="24"/>
        </w:rPr>
        <w:t xml:space="preserve"> </w:t>
      </w:r>
      <w:r>
        <w:rPr>
          <w:rFonts w:hint="eastAsia" w:ascii="宋体" w:hAnsi="宋体" w:cs="Arial"/>
          <w:bCs/>
          <w:sz w:val="24"/>
        </w:rPr>
        <w:t>原则上董事会秘书应当全程参加。</w:t>
      </w:r>
    </w:p>
    <w:p w14:paraId="7BD869BA">
      <w:pPr>
        <w:spacing w:line="312" w:lineRule="auto"/>
        <w:rPr>
          <w:rFonts w:ascii="宋体" w:hAnsi="宋体" w:cs="Arial"/>
          <w:bCs/>
          <w:sz w:val="24"/>
        </w:rPr>
      </w:pPr>
    </w:p>
    <w:p w14:paraId="69203C49">
      <w:pPr>
        <w:spacing w:line="312" w:lineRule="auto"/>
        <w:ind w:left="1260" w:hanging="1260"/>
        <w:rPr>
          <w:rFonts w:ascii="宋体" w:hAnsi="宋体" w:cs="Arial"/>
          <w:bCs/>
          <w:sz w:val="24"/>
        </w:rPr>
      </w:pPr>
      <w:r>
        <w:rPr>
          <w:rFonts w:hint="eastAsia" w:ascii="宋体" w:hAnsi="宋体" w:cs="Arial"/>
          <w:bCs/>
          <w:sz w:val="24"/>
        </w:rPr>
        <w:t>第二十八条</w:t>
      </w:r>
      <w:r>
        <w:rPr>
          <w:rFonts w:hint="eastAsia" w:ascii="宋体" w:hAnsi="宋体" w:cs="Arial"/>
          <w:bCs/>
          <w:sz w:val="24"/>
        </w:rPr>
        <w:tab/>
      </w:r>
      <w:r>
        <w:rPr>
          <w:rFonts w:hint="eastAsia" w:ascii="宋体" w:hAnsi="宋体" w:cs="Arial"/>
          <w:bCs/>
          <w:sz w:val="24"/>
        </w:rPr>
        <w:t>公司与调研机构及个人进行直接沟通的, 除应邀参加证券公司研究所等机构举办的投资策略分析会等情形外, 应当要求调研机构及个人出具单位证明和身份证等资料, 并要求其签署承诺书。</w:t>
      </w:r>
    </w:p>
    <w:p w14:paraId="369F9781">
      <w:pPr>
        <w:spacing w:line="312" w:lineRule="auto"/>
        <w:rPr>
          <w:rFonts w:ascii="宋体" w:hAnsi="宋体" w:cs="Arial"/>
          <w:bCs/>
          <w:sz w:val="24"/>
        </w:rPr>
      </w:pPr>
    </w:p>
    <w:p w14:paraId="7D4717C9">
      <w:pPr>
        <w:spacing w:line="312" w:lineRule="auto"/>
        <w:ind w:left="1260" w:firstLine="14"/>
        <w:rPr>
          <w:rFonts w:ascii="宋体" w:hAnsi="宋体" w:cs="Arial"/>
          <w:bCs/>
          <w:sz w:val="24"/>
        </w:rPr>
      </w:pPr>
      <w:r>
        <w:rPr>
          <w:rFonts w:hint="eastAsia" w:ascii="宋体" w:hAnsi="宋体" w:cs="Arial"/>
          <w:bCs/>
          <w:sz w:val="24"/>
        </w:rPr>
        <w:t xml:space="preserve">承诺书至少应当包括以下内容: </w:t>
      </w:r>
    </w:p>
    <w:p w14:paraId="6494EA14">
      <w:pPr>
        <w:numPr>
          <w:ilvl w:val="0"/>
          <w:numId w:val="9"/>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不故意打探公司未公开重大信息, 未经公司许可, 不与公司指定人员以外的人员进行沟通或问询; </w:t>
      </w:r>
    </w:p>
    <w:p w14:paraId="1B144364">
      <w:pPr>
        <w:numPr>
          <w:ilvl w:val="0"/>
          <w:numId w:val="9"/>
        </w:numPr>
        <w:tabs>
          <w:tab w:val="left" w:pos="1980"/>
        </w:tabs>
        <w:spacing w:line="312" w:lineRule="auto"/>
        <w:ind w:left="1980" w:hanging="720"/>
        <w:rPr>
          <w:rFonts w:ascii="宋体" w:hAnsi="宋体" w:cs="Arial"/>
          <w:bCs/>
          <w:sz w:val="24"/>
        </w:rPr>
      </w:pPr>
      <w:r>
        <w:rPr>
          <w:rFonts w:hint="eastAsia" w:ascii="宋体" w:hAnsi="宋体" w:cs="Arial"/>
          <w:bCs/>
          <w:sz w:val="24"/>
        </w:rPr>
        <w:t>不泄漏</w:t>
      </w:r>
      <w:r>
        <w:rPr>
          <w:rFonts w:hint="eastAsia" w:ascii="宋体" w:hAnsi="宋体" w:cs="Arial"/>
          <w:sz w:val="24"/>
        </w:rPr>
        <w:t>无意中</w:t>
      </w:r>
      <w:r>
        <w:rPr>
          <w:rFonts w:hint="eastAsia" w:ascii="宋体" w:hAnsi="宋体" w:cs="Arial"/>
          <w:bCs/>
          <w:sz w:val="24"/>
        </w:rPr>
        <w:t xml:space="preserve">获取的未公开重大信息, 不利用所获取的未公开重大信息买卖或建议他人买卖公司股票及其衍生品; </w:t>
      </w:r>
    </w:p>
    <w:p w14:paraId="2A8F0F76">
      <w:pPr>
        <w:numPr>
          <w:ilvl w:val="0"/>
          <w:numId w:val="9"/>
        </w:numPr>
        <w:tabs>
          <w:tab w:val="left" w:pos="1980"/>
        </w:tabs>
        <w:spacing w:line="312" w:lineRule="auto"/>
        <w:ind w:left="1980" w:hanging="720"/>
        <w:rPr>
          <w:rFonts w:ascii="宋体" w:hAnsi="宋体" w:cs="Arial"/>
          <w:bCs/>
          <w:sz w:val="24"/>
        </w:rPr>
      </w:pPr>
      <w:r>
        <w:rPr>
          <w:rFonts w:hint="eastAsia" w:ascii="宋体" w:hAnsi="宋体" w:cs="Arial"/>
          <w:bCs/>
          <w:sz w:val="24"/>
        </w:rPr>
        <w:t>在投资</w:t>
      </w:r>
      <w:r>
        <w:rPr>
          <w:rFonts w:hint="eastAsia" w:ascii="宋体" w:hAnsi="宋体" w:cs="Arial"/>
          <w:sz w:val="24"/>
        </w:rPr>
        <w:t>价值分析</w:t>
      </w:r>
      <w:r>
        <w:rPr>
          <w:rFonts w:hint="eastAsia" w:ascii="宋体" w:hAnsi="宋体" w:cs="Arial"/>
          <w:bCs/>
          <w:sz w:val="24"/>
        </w:rPr>
        <w:t xml:space="preserve">报告等研究报告、新闻稿等文件中不使用未公开重大信息, 除非公司同时披露该信息; </w:t>
      </w:r>
    </w:p>
    <w:p w14:paraId="71FE3AA5">
      <w:pPr>
        <w:numPr>
          <w:ilvl w:val="0"/>
          <w:numId w:val="9"/>
        </w:numPr>
        <w:tabs>
          <w:tab w:val="left" w:pos="1980"/>
        </w:tabs>
        <w:spacing w:line="312" w:lineRule="auto"/>
        <w:ind w:left="1980" w:hanging="720"/>
        <w:rPr>
          <w:rFonts w:ascii="宋体" w:hAnsi="宋体" w:cs="Arial"/>
          <w:bCs/>
          <w:sz w:val="24"/>
        </w:rPr>
      </w:pPr>
      <w:r>
        <w:rPr>
          <w:rFonts w:hint="eastAsia" w:ascii="宋体" w:hAnsi="宋体" w:cs="Arial"/>
          <w:bCs/>
          <w:sz w:val="24"/>
        </w:rPr>
        <w:t>在投资</w:t>
      </w:r>
      <w:r>
        <w:rPr>
          <w:rFonts w:hint="eastAsia" w:ascii="宋体" w:hAnsi="宋体" w:cs="Arial"/>
          <w:sz w:val="24"/>
        </w:rPr>
        <w:t>价值分析</w:t>
      </w:r>
      <w:r>
        <w:rPr>
          <w:rFonts w:hint="eastAsia" w:ascii="宋体" w:hAnsi="宋体" w:cs="Arial"/>
          <w:bCs/>
          <w:sz w:val="24"/>
        </w:rPr>
        <w:t xml:space="preserve">报告等研究报告中涉及盈利预测和股价预测的, 注明资料来源, 不使用主观臆断、缺乏事实根据的资料; </w:t>
      </w:r>
    </w:p>
    <w:p w14:paraId="73822C26">
      <w:pPr>
        <w:numPr>
          <w:ilvl w:val="0"/>
          <w:numId w:val="9"/>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在投资价值分析报告等研究报告、新闻稿等文件对外发布或使用前知会公司; </w:t>
      </w:r>
    </w:p>
    <w:p w14:paraId="23F430FD">
      <w:pPr>
        <w:numPr>
          <w:ilvl w:val="0"/>
          <w:numId w:val="9"/>
        </w:numPr>
        <w:tabs>
          <w:tab w:val="left" w:pos="1980"/>
        </w:tabs>
        <w:spacing w:line="312" w:lineRule="auto"/>
        <w:ind w:left="1980" w:hanging="720"/>
        <w:rPr>
          <w:rFonts w:ascii="宋体" w:hAnsi="宋体" w:cs="Arial"/>
          <w:bCs/>
          <w:sz w:val="24"/>
        </w:rPr>
      </w:pPr>
      <w:r>
        <w:rPr>
          <w:rFonts w:hint="eastAsia" w:ascii="宋体" w:hAnsi="宋体" w:cs="Arial"/>
          <w:bCs/>
          <w:sz w:val="24"/>
        </w:rPr>
        <w:t>明确违反承诺的责任。</w:t>
      </w:r>
    </w:p>
    <w:p w14:paraId="19E86F6A">
      <w:pPr>
        <w:spacing w:line="312" w:lineRule="auto"/>
        <w:rPr>
          <w:rFonts w:ascii="宋体" w:hAnsi="宋体" w:cs="Arial"/>
          <w:bCs/>
          <w:sz w:val="24"/>
        </w:rPr>
      </w:pPr>
    </w:p>
    <w:p w14:paraId="6EE9BA41">
      <w:pPr>
        <w:spacing w:line="312" w:lineRule="auto"/>
        <w:ind w:left="1260" w:hanging="1260"/>
        <w:rPr>
          <w:rFonts w:ascii="宋体" w:hAnsi="宋体" w:cs="Arial"/>
          <w:bCs/>
          <w:sz w:val="24"/>
        </w:rPr>
      </w:pPr>
      <w:r>
        <w:rPr>
          <w:rFonts w:hint="eastAsia" w:ascii="宋体" w:hAnsi="宋体" w:cs="Arial"/>
          <w:bCs/>
          <w:sz w:val="24"/>
        </w:rPr>
        <w:t>第二十九条</w:t>
      </w:r>
      <w:r>
        <w:rPr>
          <w:rFonts w:hint="eastAsia" w:ascii="宋体" w:hAnsi="宋体" w:cs="Arial"/>
          <w:bCs/>
          <w:sz w:val="24"/>
        </w:rPr>
        <w:tab/>
      </w:r>
      <w:r>
        <w:rPr>
          <w:rFonts w:hint="eastAsia" w:ascii="宋体" w:hAnsi="宋体" w:cs="Arial"/>
          <w:bCs/>
          <w:sz w:val="24"/>
        </w:rPr>
        <w:t>公司应当就调研过程和交流内容形成书面调研记录, 参加调研的人员和董事会秘书应当签字确认。具备条件的, 可以对调研过程进行录音录像。</w:t>
      </w:r>
    </w:p>
    <w:p w14:paraId="49BBA983">
      <w:pPr>
        <w:spacing w:line="312" w:lineRule="auto"/>
        <w:rPr>
          <w:rFonts w:ascii="宋体" w:hAnsi="宋体" w:cs="Arial"/>
          <w:bCs/>
          <w:sz w:val="24"/>
        </w:rPr>
      </w:pPr>
    </w:p>
    <w:p w14:paraId="4459D357">
      <w:pPr>
        <w:spacing w:line="312" w:lineRule="auto"/>
        <w:ind w:left="1260" w:hanging="1260"/>
        <w:rPr>
          <w:rFonts w:ascii="宋体" w:hAnsi="宋体" w:cs="Arial"/>
          <w:bCs/>
          <w:sz w:val="24"/>
        </w:rPr>
      </w:pPr>
      <w:r>
        <w:rPr>
          <w:rFonts w:hint="eastAsia" w:ascii="宋体" w:hAnsi="宋体" w:cs="Arial"/>
          <w:bCs/>
          <w:sz w:val="24"/>
        </w:rPr>
        <w:t>第三十条</w:t>
      </w:r>
      <w:r>
        <w:rPr>
          <w:rFonts w:ascii="宋体" w:hAnsi="宋体" w:cs="Arial"/>
          <w:bCs/>
          <w:sz w:val="24"/>
        </w:rPr>
        <w:tab/>
      </w:r>
      <w:r>
        <w:rPr>
          <w:rFonts w:hint="eastAsia" w:ascii="宋体" w:hAnsi="宋体" w:cs="Arial"/>
          <w:bCs/>
          <w:sz w:val="24"/>
        </w:rPr>
        <w:t>公司应当建立接受调研的事后核实程序, 明确未公开重大信息被泄露的应对措施和处理流程, 要求调研机构及个人将基于交流沟通形成的投资价值分析报告等研究报告、新闻稿等文件在发布或者使用前知会公司。</w:t>
      </w:r>
    </w:p>
    <w:p w14:paraId="23A96180">
      <w:pPr>
        <w:spacing w:line="312" w:lineRule="auto"/>
        <w:rPr>
          <w:rFonts w:ascii="宋体" w:hAnsi="宋体" w:cs="Arial"/>
          <w:bCs/>
          <w:sz w:val="24"/>
        </w:rPr>
      </w:pPr>
    </w:p>
    <w:p w14:paraId="23ED948B">
      <w:pPr>
        <w:spacing w:line="312" w:lineRule="auto"/>
        <w:ind w:left="1260" w:firstLine="14"/>
        <w:rPr>
          <w:rFonts w:ascii="宋体" w:hAnsi="宋体" w:cs="Arial"/>
          <w:bCs/>
          <w:sz w:val="24"/>
        </w:rPr>
      </w:pPr>
      <w:r>
        <w:rPr>
          <w:rFonts w:hint="eastAsia" w:ascii="宋体" w:hAnsi="宋体" w:cs="Arial"/>
          <w:bCs/>
          <w:sz w:val="24"/>
        </w:rPr>
        <w:t>公司在核查中发现前条所述文件存在错误、误导性记载的, 应当要求其改正, 对方拒不改正的, 公司应当及时对外公告进行说明; 发现前述文件涉及未公开重大信息的, 应当立即向深圳证券交易所报告并公告, 同时要求调研机构及个人在公司正式公告前不得对外泄露该信息, 并明确告知其在此期间不得买卖或者建议他人买卖公司股票及其衍生品种。</w:t>
      </w:r>
      <w:r>
        <w:rPr>
          <w:rFonts w:ascii="宋体" w:hAnsi="宋体" w:cs="Arial"/>
          <w:bCs/>
          <w:sz w:val="24"/>
        </w:rPr>
        <w:cr/>
      </w:r>
    </w:p>
    <w:p w14:paraId="0365A164">
      <w:pPr>
        <w:spacing w:line="312" w:lineRule="auto"/>
        <w:ind w:left="1260" w:hanging="1260"/>
        <w:rPr>
          <w:rFonts w:ascii="宋体" w:hAnsi="宋体" w:cs="Arial"/>
          <w:bCs/>
          <w:sz w:val="24"/>
        </w:rPr>
      </w:pPr>
      <w:r>
        <w:rPr>
          <w:rFonts w:hint="eastAsia" w:ascii="宋体" w:hAnsi="宋体" w:cs="Arial"/>
          <w:bCs/>
          <w:sz w:val="24"/>
        </w:rPr>
        <w:t>第三十一条</w:t>
      </w:r>
      <w:r>
        <w:rPr>
          <w:rFonts w:hint="eastAsia" w:ascii="宋体" w:hAnsi="宋体" w:cs="Arial"/>
          <w:bCs/>
          <w:sz w:val="24"/>
        </w:rPr>
        <w:tab/>
      </w:r>
      <w:r>
        <w:rPr>
          <w:rFonts w:hint="eastAsia" w:ascii="宋体" w:hAnsi="宋体" w:cs="Arial"/>
          <w:bCs/>
          <w:sz w:val="24"/>
        </w:rPr>
        <w:t>除依法履行信息披露义务外, 公司应当积极召开投资者说明会, 向投资者介绍情况、回答问题、听取建议。存在下列情形的, 公司应当及时召开投资者说明会:</w:t>
      </w:r>
    </w:p>
    <w:p w14:paraId="07FDD89F">
      <w:pPr>
        <w:numPr>
          <w:ilvl w:val="0"/>
          <w:numId w:val="10"/>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公司当年现金分红水平未达相关规定, 需要说明原因的; </w:t>
      </w:r>
    </w:p>
    <w:p w14:paraId="5567570D">
      <w:pPr>
        <w:numPr>
          <w:ilvl w:val="0"/>
          <w:numId w:val="10"/>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公司在披露重组预案或重组报告书后终止重组的; </w:t>
      </w:r>
    </w:p>
    <w:p w14:paraId="795E9EB2">
      <w:pPr>
        <w:numPr>
          <w:ilvl w:val="0"/>
          <w:numId w:val="10"/>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公司股票交易出现相关规则规定的异常波动,公司核查后发现存在未披露重大事件的; </w:t>
      </w:r>
    </w:p>
    <w:p w14:paraId="6B45F8DF">
      <w:pPr>
        <w:numPr>
          <w:ilvl w:val="0"/>
          <w:numId w:val="10"/>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公司相关重大事件受到市场高度关注或质疑的; </w:t>
      </w:r>
    </w:p>
    <w:p w14:paraId="3818A996">
      <w:pPr>
        <w:numPr>
          <w:ilvl w:val="0"/>
          <w:numId w:val="10"/>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公司在年度报告披露后, 按照中国证监会和深圳证券交易所相关规定应当召开年度报告业绩说明会的; </w:t>
      </w:r>
    </w:p>
    <w:p w14:paraId="3C4C9150">
      <w:pPr>
        <w:numPr>
          <w:ilvl w:val="0"/>
          <w:numId w:val="10"/>
        </w:numPr>
        <w:tabs>
          <w:tab w:val="left" w:pos="1980"/>
        </w:tabs>
        <w:spacing w:line="312" w:lineRule="auto"/>
        <w:ind w:left="1980" w:hanging="720"/>
        <w:rPr>
          <w:rFonts w:ascii="宋体" w:hAnsi="宋体" w:cs="Arial"/>
          <w:bCs/>
          <w:sz w:val="24"/>
        </w:rPr>
      </w:pPr>
      <w:r>
        <w:rPr>
          <w:rFonts w:hint="eastAsia" w:ascii="宋体" w:hAnsi="宋体" w:cs="Arial"/>
          <w:bCs/>
          <w:sz w:val="24"/>
        </w:rPr>
        <w:t>其他按照中国证监会和深圳证券交易所规定应当召开投资者说明会的情形。</w:t>
      </w:r>
    </w:p>
    <w:p w14:paraId="36733D59">
      <w:pPr>
        <w:spacing w:line="312" w:lineRule="auto"/>
        <w:rPr>
          <w:rFonts w:ascii="宋体" w:hAnsi="宋体" w:cs="Arial"/>
          <w:bCs/>
          <w:sz w:val="24"/>
        </w:rPr>
      </w:pPr>
    </w:p>
    <w:p w14:paraId="7E3C89CE">
      <w:pPr>
        <w:spacing w:line="312" w:lineRule="auto"/>
        <w:ind w:left="1260" w:hanging="1260"/>
        <w:rPr>
          <w:rFonts w:ascii="宋体" w:hAnsi="宋体" w:cs="Arial"/>
          <w:bCs/>
          <w:sz w:val="24"/>
        </w:rPr>
      </w:pPr>
      <w:r>
        <w:rPr>
          <w:rFonts w:hint="eastAsia" w:ascii="宋体" w:hAnsi="宋体" w:cs="Arial"/>
          <w:bCs/>
          <w:sz w:val="24"/>
        </w:rPr>
        <w:t>第三十二条</w:t>
      </w:r>
      <w:r>
        <w:rPr>
          <w:rFonts w:hint="eastAsia" w:ascii="宋体" w:hAnsi="宋体" w:cs="Arial"/>
          <w:bCs/>
          <w:sz w:val="24"/>
        </w:rPr>
        <w:tab/>
      </w:r>
      <w:r>
        <w:rPr>
          <w:rFonts w:hint="eastAsia" w:ascii="宋体" w:hAnsi="宋体" w:cs="Arial"/>
          <w:bCs/>
          <w:sz w:val="24"/>
        </w:rPr>
        <w:t>公司召开投资者说明会的, 应当采取便于投资者参与的方式进行。公司应当在投资者说明会召开前发布公告, 说明投资者关系活动的时间、方式、地点、网址、公司出席人员名单和活动主题等。投资者说明会原则上应当安排在非交易时段召开。</w:t>
      </w:r>
    </w:p>
    <w:p w14:paraId="38671914">
      <w:pPr>
        <w:spacing w:line="312" w:lineRule="auto"/>
        <w:ind w:left="1260" w:firstLine="14"/>
        <w:rPr>
          <w:rFonts w:ascii="宋体" w:hAnsi="宋体" w:cs="Arial"/>
          <w:bCs/>
          <w:sz w:val="24"/>
        </w:rPr>
      </w:pPr>
    </w:p>
    <w:p w14:paraId="7EF06B21">
      <w:pPr>
        <w:spacing w:line="312" w:lineRule="auto"/>
        <w:ind w:left="1260" w:firstLine="14"/>
        <w:rPr>
          <w:rFonts w:ascii="宋体" w:hAnsi="宋体" w:cs="Arial"/>
          <w:bCs/>
          <w:sz w:val="24"/>
        </w:rPr>
      </w:pPr>
      <w:r>
        <w:rPr>
          <w:rFonts w:hint="eastAsia" w:ascii="宋体" w:hAnsi="宋体" w:cs="Arial"/>
          <w:bCs/>
          <w:sz w:val="24"/>
        </w:rPr>
        <w:t>公司应当在投资者说明会召开前以及召开期间为投资者开通提问渠道, 做好投资者提问征集工作, 并在说明会上对投资者关注的问题予以答复。</w:t>
      </w:r>
    </w:p>
    <w:p w14:paraId="69677236">
      <w:pPr>
        <w:spacing w:line="312" w:lineRule="auto"/>
        <w:rPr>
          <w:rFonts w:ascii="宋体" w:hAnsi="宋体" w:cs="Arial"/>
          <w:bCs/>
          <w:sz w:val="24"/>
        </w:rPr>
      </w:pPr>
    </w:p>
    <w:p w14:paraId="378CAF43">
      <w:pPr>
        <w:spacing w:line="312" w:lineRule="auto"/>
        <w:ind w:left="1260" w:hanging="1260"/>
        <w:rPr>
          <w:rFonts w:ascii="宋体" w:hAnsi="宋体" w:cs="Arial"/>
          <w:bCs/>
          <w:sz w:val="24"/>
        </w:rPr>
      </w:pPr>
      <w:r>
        <w:rPr>
          <w:rFonts w:hint="eastAsia" w:ascii="宋体" w:hAnsi="宋体" w:cs="Arial"/>
          <w:bCs/>
          <w:sz w:val="24"/>
        </w:rPr>
        <w:t>第三十三条</w:t>
      </w:r>
      <w:r>
        <w:rPr>
          <w:rFonts w:ascii="宋体" w:hAnsi="宋体" w:cs="Arial"/>
          <w:bCs/>
          <w:sz w:val="24"/>
        </w:rPr>
        <w:tab/>
      </w:r>
      <w:r>
        <w:rPr>
          <w:rFonts w:hint="eastAsia" w:ascii="宋体" w:hAnsi="宋体" w:cs="Arial"/>
          <w:bCs/>
          <w:sz w:val="24"/>
        </w:rPr>
        <w:t>参与投资者说明会的公司人员应当包括公司董事长（或者总经理）、财务负责人、独立董事和董事会秘书。公司处于持续督导期内的, 保荐代表人或独立财务顾问主办人可以参加。</w:t>
      </w:r>
    </w:p>
    <w:p w14:paraId="567BFDE1">
      <w:pPr>
        <w:spacing w:line="312" w:lineRule="auto"/>
        <w:rPr>
          <w:rFonts w:ascii="宋体" w:hAnsi="宋体" w:cs="Arial"/>
          <w:bCs/>
          <w:sz w:val="24"/>
        </w:rPr>
      </w:pPr>
    </w:p>
    <w:p w14:paraId="6E044633">
      <w:pPr>
        <w:spacing w:line="312" w:lineRule="auto"/>
        <w:ind w:left="1260" w:hanging="1260"/>
        <w:rPr>
          <w:rFonts w:ascii="宋体" w:hAnsi="宋体" w:cs="Arial"/>
          <w:bCs/>
          <w:sz w:val="24"/>
        </w:rPr>
      </w:pPr>
      <w:r>
        <w:rPr>
          <w:rFonts w:hint="eastAsia" w:ascii="宋体" w:hAnsi="宋体" w:cs="Arial"/>
          <w:bCs/>
          <w:sz w:val="24"/>
        </w:rPr>
        <w:t>第三十四条</w:t>
      </w:r>
      <w:r>
        <w:rPr>
          <w:rFonts w:ascii="宋体" w:hAnsi="宋体" w:cs="Arial"/>
          <w:bCs/>
          <w:sz w:val="24"/>
        </w:rPr>
        <w:tab/>
      </w:r>
      <w:r>
        <w:rPr>
          <w:rFonts w:hint="eastAsia" w:ascii="宋体" w:hAnsi="宋体" w:cs="Arial"/>
          <w:bCs/>
          <w:sz w:val="24"/>
        </w:rPr>
        <w:t>公司应当充分考虑股东会召开的时间、地点和方式, 为股东特别是中小股东参加股东会提供便利, 为投资者发言、提问以及与公司董事、高级管理人员等交流提供必要的时间。股东会应当提供网络投票的方式。</w:t>
      </w:r>
    </w:p>
    <w:p w14:paraId="1DC11843">
      <w:pPr>
        <w:spacing w:line="312" w:lineRule="auto"/>
        <w:rPr>
          <w:rFonts w:ascii="宋体" w:hAnsi="宋体" w:cs="Arial"/>
          <w:bCs/>
          <w:sz w:val="24"/>
        </w:rPr>
      </w:pPr>
    </w:p>
    <w:p w14:paraId="2CEAB6B7">
      <w:pPr>
        <w:spacing w:line="312" w:lineRule="auto"/>
        <w:ind w:left="1260" w:firstLine="14"/>
        <w:rPr>
          <w:rFonts w:ascii="宋体" w:hAnsi="宋体" w:cs="Arial"/>
          <w:bCs/>
          <w:sz w:val="24"/>
        </w:rPr>
      </w:pPr>
      <w:r>
        <w:rPr>
          <w:rFonts w:hint="eastAsia" w:ascii="宋体" w:hAnsi="宋体" w:cs="Arial"/>
          <w:bCs/>
          <w:sz w:val="24"/>
        </w:rPr>
        <w:t>公司可以在按照信息披露规则作出公告后至股东会召开前, 与投资</w:t>
      </w:r>
      <w:bookmarkStart w:id="0" w:name="_GoBack"/>
      <w:bookmarkEnd w:id="0"/>
      <w:r>
        <w:rPr>
          <w:rFonts w:hint="eastAsia" w:ascii="宋体" w:hAnsi="宋体" w:cs="Arial"/>
          <w:bCs/>
          <w:sz w:val="24"/>
        </w:rPr>
        <w:t>者充分沟通, 广泛征询意见。股东会对现金分红具体方案进行审议前, 公司应当通过多种渠道主动与股东特别是中小股东进行沟通和交流, 充分听取中小股东的意见和诉求, 及时答复中小股东关心的问题。</w:t>
      </w:r>
    </w:p>
    <w:p w14:paraId="0E819AD7">
      <w:pPr>
        <w:spacing w:line="312" w:lineRule="auto"/>
        <w:rPr>
          <w:rFonts w:ascii="宋体" w:hAnsi="宋体" w:cs="Arial"/>
          <w:bCs/>
          <w:sz w:val="24"/>
        </w:rPr>
      </w:pPr>
    </w:p>
    <w:p w14:paraId="21738025">
      <w:pPr>
        <w:spacing w:line="312" w:lineRule="auto"/>
        <w:ind w:left="1260" w:hanging="1260"/>
        <w:rPr>
          <w:rFonts w:ascii="宋体" w:hAnsi="宋体" w:cs="Arial"/>
          <w:bCs/>
          <w:sz w:val="24"/>
        </w:rPr>
      </w:pPr>
      <w:r>
        <w:rPr>
          <w:rFonts w:hint="eastAsia" w:ascii="宋体" w:hAnsi="宋体" w:cs="Arial"/>
          <w:bCs/>
          <w:sz w:val="24"/>
        </w:rPr>
        <w:t>第三十五条</w:t>
      </w:r>
      <w:r>
        <w:rPr>
          <w:rFonts w:ascii="宋体" w:hAnsi="宋体" w:cs="Arial"/>
          <w:bCs/>
          <w:sz w:val="24"/>
        </w:rPr>
        <w:tab/>
      </w:r>
      <w:r>
        <w:rPr>
          <w:rFonts w:hint="eastAsia" w:ascii="宋体" w:hAnsi="宋体" w:cs="Arial"/>
          <w:bCs/>
          <w:sz w:val="24"/>
        </w:rPr>
        <w:t>公司应当通过互动易等多种渠道与投资者交流, 指派或授权专人及时查看并处理互动易的相关信息。公司应当就投资者对已披露信息的提问进行充分、深入、详细的分析、说明和答复。对于重要或者具普遍性的问题及答复, 公司应当加以整理并在互动易以显著方式刊载。</w:t>
      </w:r>
    </w:p>
    <w:p w14:paraId="56BA117E">
      <w:pPr>
        <w:spacing w:line="312" w:lineRule="auto"/>
        <w:rPr>
          <w:rFonts w:ascii="宋体" w:hAnsi="宋体" w:cs="Arial"/>
          <w:bCs/>
          <w:sz w:val="24"/>
        </w:rPr>
      </w:pPr>
    </w:p>
    <w:p w14:paraId="4359FBD3">
      <w:pPr>
        <w:spacing w:line="312" w:lineRule="auto"/>
        <w:ind w:left="1260" w:hanging="1260"/>
        <w:rPr>
          <w:rFonts w:ascii="宋体" w:hAnsi="宋体" w:cs="Arial"/>
          <w:bCs/>
          <w:sz w:val="24"/>
        </w:rPr>
      </w:pPr>
      <w:r>
        <w:rPr>
          <w:rFonts w:hint="eastAsia" w:ascii="宋体" w:hAnsi="宋体" w:cs="Arial"/>
          <w:bCs/>
          <w:sz w:val="24"/>
        </w:rPr>
        <w:t>第三十六条</w:t>
      </w:r>
      <w:r>
        <w:rPr>
          <w:rFonts w:ascii="宋体" w:hAnsi="宋体" w:cs="Arial"/>
          <w:bCs/>
          <w:sz w:val="24"/>
        </w:rPr>
        <w:tab/>
      </w:r>
      <w:r>
        <w:rPr>
          <w:rFonts w:hint="eastAsia" w:ascii="宋体" w:hAnsi="宋体" w:cs="Arial"/>
          <w:bCs/>
          <w:sz w:val="24"/>
        </w:rPr>
        <w:t>公司在互动易平台发布信息的, 应当谨慎、客观, 以事实为依据, 保证所发布信息的真实、准确、完整和公平, 不得使用夸大性、宣传性、误导性语言, 不得误导投资者, 并充分提示相关事项可能存在的重大不确定性和风险。公司信息披露以其通过符合条件媒体披露的内容为准, 在互动易平台发布的信息不得与依法披露的信息相冲突。</w:t>
      </w:r>
    </w:p>
    <w:p w14:paraId="5C64E817">
      <w:pPr>
        <w:spacing w:line="312" w:lineRule="auto"/>
        <w:rPr>
          <w:rFonts w:ascii="宋体" w:hAnsi="宋体" w:cs="Arial"/>
          <w:bCs/>
          <w:sz w:val="24"/>
        </w:rPr>
      </w:pPr>
    </w:p>
    <w:p w14:paraId="0088E87A">
      <w:pPr>
        <w:spacing w:line="312" w:lineRule="auto"/>
        <w:ind w:left="1260" w:hanging="1260"/>
        <w:rPr>
          <w:rFonts w:ascii="宋体" w:hAnsi="宋体" w:cs="Arial"/>
          <w:bCs/>
          <w:sz w:val="24"/>
        </w:rPr>
      </w:pPr>
      <w:r>
        <w:rPr>
          <w:rFonts w:hint="eastAsia" w:ascii="宋体" w:hAnsi="宋体" w:cs="Arial"/>
          <w:bCs/>
          <w:sz w:val="24"/>
        </w:rPr>
        <w:t>第三十七条</w:t>
      </w:r>
      <w:r>
        <w:rPr>
          <w:rFonts w:ascii="宋体" w:hAnsi="宋体" w:cs="Arial"/>
          <w:bCs/>
          <w:sz w:val="24"/>
        </w:rPr>
        <w:tab/>
      </w:r>
      <w:r>
        <w:rPr>
          <w:rFonts w:hint="eastAsia" w:ascii="宋体" w:hAnsi="宋体" w:cs="Arial"/>
          <w:bCs/>
          <w:sz w:val="24"/>
        </w:rPr>
        <w:t>公司在互动易平台发布信息及对涉及市场热点概念、敏感事项问题进行答复, 应当谨慎、客观、具有事实依据, 不得利用互动易平台迎合市场热点或者与市场热点不当关联, 不得故意夸大相关事项对公司生产、经营、研发、销售、发展等方面的影响, 不当影响公司股票及其衍生品种价格。</w:t>
      </w:r>
    </w:p>
    <w:p w14:paraId="5E04B3B9">
      <w:pPr>
        <w:spacing w:line="312" w:lineRule="auto"/>
        <w:rPr>
          <w:rFonts w:ascii="宋体" w:hAnsi="宋体" w:cs="Arial"/>
          <w:bCs/>
          <w:sz w:val="24"/>
        </w:rPr>
      </w:pPr>
    </w:p>
    <w:p w14:paraId="44498E64">
      <w:pPr>
        <w:spacing w:line="312" w:lineRule="auto"/>
        <w:ind w:left="1260" w:hanging="1260"/>
        <w:rPr>
          <w:rFonts w:ascii="宋体" w:hAnsi="宋体" w:cs="Arial"/>
          <w:bCs/>
          <w:sz w:val="24"/>
        </w:rPr>
      </w:pPr>
      <w:r>
        <w:rPr>
          <w:rFonts w:hint="eastAsia" w:ascii="宋体" w:hAnsi="宋体" w:cs="Arial"/>
          <w:bCs/>
          <w:sz w:val="24"/>
        </w:rPr>
        <w:t>第三十八条</w:t>
      </w:r>
      <w:r>
        <w:rPr>
          <w:rFonts w:ascii="宋体" w:hAnsi="宋体" w:cs="Arial"/>
          <w:bCs/>
          <w:sz w:val="24"/>
        </w:rPr>
        <w:tab/>
      </w:r>
      <w:r>
        <w:rPr>
          <w:rFonts w:hint="eastAsia" w:ascii="宋体" w:hAnsi="宋体" w:cs="Arial"/>
          <w:bCs/>
          <w:sz w:val="24"/>
        </w:rPr>
        <w:t>公司进行投资者关系活动应建立完备的投资者关系管理档案制度, 投资者关系管理档案至少应包括下列内容:</w:t>
      </w:r>
    </w:p>
    <w:p w14:paraId="5FDA4393">
      <w:pPr>
        <w:numPr>
          <w:ilvl w:val="0"/>
          <w:numId w:val="11"/>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投资者关系活动参与人员、时间、地点; </w:t>
      </w:r>
    </w:p>
    <w:p w14:paraId="2120F1C9">
      <w:pPr>
        <w:numPr>
          <w:ilvl w:val="0"/>
          <w:numId w:val="11"/>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投资者关系活动的交流内容; </w:t>
      </w:r>
    </w:p>
    <w:p w14:paraId="6F9B1CA5">
      <w:pPr>
        <w:numPr>
          <w:ilvl w:val="0"/>
          <w:numId w:val="11"/>
        </w:numPr>
        <w:tabs>
          <w:tab w:val="left" w:pos="1980"/>
        </w:tabs>
        <w:spacing w:line="312" w:lineRule="auto"/>
        <w:ind w:left="1980" w:hanging="720"/>
        <w:rPr>
          <w:rFonts w:ascii="宋体" w:hAnsi="宋体" w:cs="Arial"/>
          <w:bCs/>
          <w:sz w:val="24"/>
        </w:rPr>
      </w:pPr>
      <w:r>
        <w:rPr>
          <w:rFonts w:hint="eastAsia" w:ascii="宋体" w:hAnsi="宋体" w:cs="Arial"/>
          <w:bCs/>
          <w:sz w:val="24"/>
        </w:rPr>
        <w:t xml:space="preserve">未公开重大信息泄密的处理过程及责任追究情况（如有）; </w:t>
      </w:r>
    </w:p>
    <w:p w14:paraId="27045503">
      <w:pPr>
        <w:numPr>
          <w:ilvl w:val="0"/>
          <w:numId w:val="11"/>
        </w:numPr>
        <w:tabs>
          <w:tab w:val="left" w:pos="1980"/>
        </w:tabs>
        <w:spacing w:line="312" w:lineRule="auto"/>
        <w:ind w:left="1980" w:hanging="720"/>
        <w:rPr>
          <w:rFonts w:ascii="宋体" w:hAnsi="宋体" w:cs="Arial"/>
          <w:bCs/>
          <w:sz w:val="24"/>
        </w:rPr>
      </w:pPr>
      <w:r>
        <w:rPr>
          <w:rFonts w:hint="eastAsia" w:ascii="宋体" w:hAnsi="宋体" w:cs="Arial"/>
          <w:bCs/>
          <w:sz w:val="24"/>
        </w:rPr>
        <w:t>其他内容。</w:t>
      </w:r>
      <w:r>
        <w:rPr>
          <w:rFonts w:ascii="宋体" w:hAnsi="宋体" w:cs="Arial"/>
          <w:bCs/>
          <w:sz w:val="24"/>
        </w:rPr>
        <w:cr/>
      </w:r>
    </w:p>
    <w:p w14:paraId="49F8D3D5">
      <w:pPr>
        <w:spacing w:line="312" w:lineRule="auto"/>
        <w:ind w:left="1260" w:firstLine="14"/>
        <w:rPr>
          <w:rFonts w:ascii="宋体" w:hAnsi="宋体" w:cs="Arial"/>
          <w:bCs/>
          <w:sz w:val="24"/>
        </w:rPr>
      </w:pPr>
      <w:r>
        <w:rPr>
          <w:rFonts w:hint="eastAsia" w:ascii="宋体" w:hAnsi="宋体" w:cs="Arial"/>
          <w:bCs/>
          <w:sz w:val="24"/>
        </w:rPr>
        <w:t>投资者关系管理档案应当按照投资者关系管理的方式进行分类, 将相关记录、现场录音、演示文稿、活动中提供的文档（如有）等文件资料存档并妥善保管, 保存期限不得少于3年。</w:t>
      </w:r>
    </w:p>
    <w:p w14:paraId="6C786D5F">
      <w:pPr>
        <w:tabs>
          <w:tab w:val="left" w:pos="1980"/>
        </w:tabs>
        <w:spacing w:line="312" w:lineRule="auto"/>
        <w:rPr>
          <w:rFonts w:ascii="宋体" w:hAnsi="宋体" w:cs="Arial"/>
          <w:bCs/>
          <w:sz w:val="24"/>
        </w:rPr>
      </w:pPr>
    </w:p>
    <w:p w14:paraId="0C6C5443">
      <w:pPr>
        <w:numPr>
          <w:ilvl w:val="0"/>
          <w:numId w:val="1"/>
        </w:numPr>
        <w:spacing w:line="312" w:lineRule="auto"/>
        <w:jc w:val="center"/>
        <w:rPr>
          <w:rFonts w:ascii="宋体" w:hAnsi="宋体" w:cs="Arial"/>
          <w:b/>
          <w:bCs/>
          <w:sz w:val="24"/>
        </w:rPr>
      </w:pPr>
      <w:r>
        <w:rPr>
          <w:rFonts w:ascii="宋体" w:hAnsi="宋体" w:cs="Arial"/>
          <w:b/>
          <w:bCs/>
          <w:color w:val="000000"/>
          <w:sz w:val="24"/>
        </w:rPr>
        <w:t>附则</w:t>
      </w:r>
    </w:p>
    <w:p w14:paraId="72F3BE01">
      <w:pPr>
        <w:spacing w:line="312" w:lineRule="auto"/>
        <w:rPr>
          <w:rFonts w:ascii="宋体" w:hAnsi="宋体" w:cs="Arial"/>
          <w:b/>
          <w:bCs/>
          <w:sz w:val="24"/>
        </w:rPr>
      </w:pPr>
    </w:p>
    <w:p w14:paraId="4D82FED9">
      <w:pPr>
        <w:spacing w:line="312" w:lineRule="auto"/>
        <w:ind w:left="1260" w:hanging="1260"/>
        <w:rPr>
          <w:rFonts w:ascii="宋体" w:hAnsi="宋体" w:cs="Arial"/>
          <w:sz w:val="24"/>
        </w:rPr>
      </w:pPr>
      <w:r>
        <w:rPr>
          <w:rFonts w:ascii="宋体" w:hAnsi="宋体" w:cs="Arial"/>
          <w:bCs/>
          <w:sz w:val="24"/>
        </w:rPr>
        <w:t>第</w:t>
      </w:r>
      <w:r>
        <w:rPr>
          <w:rFonts w:hint="eastAsia" w:ascii="宋体" w:hAnsi="宋体" w:cs="Arial"/>
          <w:bCs/>
          <w:sz w:val="24"/>
        </w:rPr>
        <w:t>三十九</w:t>
      </w:r>
      <w:r>
        <w:rPr>
          <w:rFonts w:ascii="宋体" w:hAnsi="宋体" w:cs="Arial"/>
          <w:bCs/>
          <w:sz w:val="24"/>
        </w:rPr>
        <w:t>条</w:t>
      </w:r>
      <w:r>
        <w:rPr>
          <w:rFonts w:hint="eastAsia" w:ascii="宋体" w:hAnsi="宋体" w:cs="Arial"/>
          <w:bCs/>
          <w:sz w:val="24"/>
        </w:rPr>
        <w:tab/>
      </w:r>
      <w:r>
        <w:rPr>
          <w:rFonts w:ascii="宋体" w:hAnsi="宋体" w:cs="Arial"/>
          <w:bCs/>
          <w:sz w:val="24"/>
        </w:rPr>
        <w:t>本</w:t>
      </w:r>
      <w:r>
        <w:rPr>
          <w:rFonts w:ascii="宋体" w:hAnsi="宋体" w:cs="Arial"/>
          <w:sz w:val="24"/>
        </w:rPr>
        <w:t>制度自</w:t>
      </w:r>
      <w:r>
        <w:rPr>
          <w:rFonts w:hint="eastAsia" w:ascii="宋体" w:hAnsi="宋体" w:cs="Arial"/>
          <w:sz w:val="24"/>
        </w:rPr>
        <w:t>公司</w:t>
      </w:r>
      <w:r>
        <w:rPr>
          <w:rFonts w:ascii="宋体" w:hAnsi="宋体" w:cs="Arial"/>
          <w:sz w:val="24"/>
        </w:rPr>
        <w:t>董事会</w:t>
      </w:r>
      <w:r>
        <w:rPr>
          <w:rFonts w:hint="eastAsia" w:ascii="宋体" w:hAnsi="宋体" w:cs="Arial"/>
          <w:sz w:val="24"/>
        </w:rPr>
        <w:t>审议</w:t>
      </w:r>
      <w:r>
        <w:rPr>
          <w:rFonts w:ascii="宋体" w:hAnsi="宋体" w:cs="Arial"/>
          <w:sz w:val="24"/>
        </w:rPr>
        <w:t>通过之日起</w:t>
      </w:r>
      <w:r>
        <w:rPr>
          <w:rFonts w:hint="eastAsia" w:ascii="宋体" w:hAnsi="宋体" w:cs="Arial"/>
          <w:sz w:val="24"/>
        </w:rPr>
        <w:t>生效,</w:t>
      </w:r>
      <w:r>
        <w:rPr>
          <w:rFonts w:ascii="宋体" w:hAnsi="宋体" w:cs="Arial"/>
          <w:sz w:val="24"/>
        </w:rPr>
        <w:t xml:space="preserve"> </w:t>
      </w:r>
      <w:r>
        <w:rPr>
          <w:rFonts w:hint="eastAsia" w:ascii="宋体" w:hAnsi="宋体" w:cs="Arial"/>
          <w:sz w:val="24"/>
        </w:rPr>
        <w:t>本制度未尽事宜, 按照有关法律、法规、规范性文件和公司章程的规定执行; 如本制度内容与日后颁布或修改的法律、法规、规范性文件或公司章程相抵触时, 以法律、法规、规范性文件和公司章程的规定为准。</w:t>
      </w:r>
    </w:p>
    <w:p w14:paraId="4B81D25D">
      <w:pPr>
        <w:spacing w:line="312" w:lineRule="auto"/>
        <w:ind w:left="479"/>
        <w:rPr>
          <w:rFonts w:ascii="宋体" w:hAnsi="宋体" w:cs="Arial"/>
          <w:sz w:val="24"/>
        </w:rPr>
      </w:pPr>
    </w:p>
    <w:p w14:paraId="4451AA88">
      <w:pPr>
        <w:spacing w:line="312" w:lineRule="auto"/>
        <w:ind w:left="1260" w:hanging="1260"/>
        <w:rPr>
          <w:rFonts w:ascii="宋体" w:hAnsi="宋体" w:cs="Arial"/>
          <w:sz w:val="24"/>
        </w:rPr>
      </w:pPr>
      <w:r>
        <w:rPr>
          <w:rFonts w:ascii="宋体" w:hAnsi="宋体" w:cs="Arial"/>
          <w:sz w:val="24"/>
        </w:rPr>
        <w:t>第</w:t>
      </w:r>
      <w:r>
        <w:rPr>
          <w:rFonts w:hint="eastAsia" w:ascii="宋体" w:hAnsi="宋体" w:cs="Arial"/>
          <w:sz w:val="24"/>
        </w:rPr>
        <w:t>四十</w:t>
      </w:r>
      <w:r>
        <w:rPr>
          <w:rFonts w:ascii="宋体" w:hAnsi="宋体" w:cs="Arial"/>
          <w:bCs/>
          <w:sz w:val="24"/>
        </w:rPr>
        <w:t>条</w:t>
      </w:r>
      <w:r>
        <w:rPr>
          <w:rFonts w:hint="eastAsia" w:ascii="宋体" w:hAnsi="宋体" w:cs="Arial"/>
          <w:bCs/>
          <w:sz w:val="24"/>
        </w:rPr>
        <w:tab/>
      </w:r>
      <w:r>
        <w:rPr>
          <w:rFonts w:ascii="宋体" w:hAnsi="宋体" w:cs="Arial"/>
          <w:bCs/>
          <w:sz w:val="24"/>
        </w:rPr>
        <w:t>本</w:t>
      </w:r>
      <w:r>
        <w:rPr>
          <w:rFonts w:ascii="宋体" w:hAnsi="宋体" w:cs="Arial"/>
          <w:sz w:val="24"/>
        </w:rPr>
        <w:t>制度</w:t>
      </w:r>
      <w:r>
        <w:rPr>
          <w:rFonts w:hint="eastAsia" w:ascii="宋体" w:hAnsi="宋体" w:cs="Arial"/>
          <w:sz w:val="24"/>
        </w:rPr>
        <w:t>由</w:t>
      </w:r>
      <w:r>
        <w:rPr>
          <w:rFonts w:ascii="宋体" w:hAnsi="宋体" w:cs="Arial"/>
          <w:sz w:val="24"/>
        </w:rPr>
        <w:t>公司董事会</w:t>
      </w:r>
      <w:r>
        <w:rPr>
          <w:rFonts w:hint="eastAsia" w:ascii="宋体" w:hAnsi="宋体" w:cs="Arial"/>
          <w:sz w:val="24"/>
        </w:rPr>
        <w:t>负责修改、解释</w:t>
      </w:r>
      <w:r>
        <w:rPr>
          <w:rFonts w:ascii="宋体" w:hAnsi="宋体" w:cs="Arial"/>
          <w:sz w:val="24"/>
        </w:rPr>
        <w:t>。</w:t>
      </w:r>
    </w:p>
    <w:p w14:paraId="6C03D9C4">
      <w:pPr>
        <w:spacing w:line="360" w:lineRule="auto"/>
        <w:rPr>
          <w:rFonts w:ascii="宋体" w:hAnsi="宋体"/>
          <w:sz w:val="24"/>
        </w:rPr>
      </w:pPr>
    </w:p>
    <w:sectPr>
      <w:headerReference r:id="rId3" w:type="default"/>
      <w:footerReference r:id="rId4" w:type="default"/>
      <w:pgSz w:w="11906" w:h="16838"/>
      <w:pgMar w:top="1440" w:right="1800" w:bottom="1440" w:left="1800" w:header="6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B500B">
    <w:pPr>
      <w:pStyle w:val="4"/>
      <w:jc w:val="center"/>
    </w:pPr>
    <w:r>
      <w:rPr>
        <w:rFonts w:hint="eastAsia"/>
      </w:rPr>
      <w:t>第</w:t>
    </w:r>
    <w:r>
      <w:fldChar w:fldCharType="begin"/>
    </w:r>
    <w:r>
      <w:instrText xml:space="preserve"> </w:instrText>
    </w:r>
    <w:r>
      <w:rPr>
        <w:rFonts w:hint="eastAsia"/>
      </w:rPr>
      <w:instrText xml:space="preserve">PAGE   \* MERGEFORMAT</w:instrText>
    </w:r>
    <w:r>
      <w:instrText xml:space="preserve"> </w:instrText>
    </w:r>
    <w:r>
      <w:fldChar w:fldCharType="separate"/>
    </w:r>
    <w:r>
      <w:t>1</w:t>
    </w:r>
    <w:r>
      <w:fldChar w:fldCharType="end"/>
    </w:r>
    <w:r>
      <w:rPr>
        <w:rFonts w:hint="eastAsia"/>
      </w:rPr>
      <w:t xml:space="preserve"> 页 共</w:t>
    </w:r>
    <w:r>
      <w:t>1</w:t>
    </w:r>
    <w:r>
      <w:rPr>
        <w:rFonts w:hint="eastAsia"/>
        <w:lang w:val="en-US" w:eastAsia="zh-CN"/>
      </w:rPr>
      <w:t>0</w:t>
    </w:r>
    <w:r>
      <w:rPr>
        <w:rFonts w:hint="eastAsia"/>
      </w:rPr>
      <w:t xml:space="preserve"> 页</w:t>
    </w:r>
  </w:p>
  <w:p w14:paraId="696164E7">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FAB5">
    <w:pPr>
      <w:pStyle w:val="5"/>
      <w:jc w:val="both"/>
    </w:pPr>
    <w:r>
      <w:drawing>
        <wp:inline distT="0" distB="0" distL="0" distR="0">
          <wp:extent cx="381000" cy="4038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81000" cy="403860"/>
                  </a:xfrm>
                  <a:prstGeom prst="rect">
                    <a:avLst/>
                  </a:prstGeom>
                  <a:noFill/>
                  <a:ln>
                    <a:noFill/>
                  </a:ln>
                </pic:spPr>
              </pic:pic>
            </a:graphicData>
          </a:graphic>
        </wp:inline>
      </w:drawing>
    </w:r>
    <w:r>
      <w:rPr>
        <w:rFonts w:hint="eastAsia"/>
      </w:rPr>
      <w:t xml:space="preserve">                   永兴特种材料科技股份有限公司投资者关系管理制度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0109A9"/>
    <w:multiLevelType w:val="multilevel"/>
    <w:tmpl w:val="0D0109A9"/>
    <w:lvl w:ilvl="0" w:tentative="0">
      <w:start w:val="1"/>
      <w:numFmt w:val="japaneseCounting"/>
      <w:lvlText w:val="(%1)"/>
      <w:lvlJc w:val="left"/>
      <w:pPr>
        <w:tabs>
          <w:tab w:val="left" w:pos="959"/>
        </w:tabs>
        <w:ind w:left="959" w:hanging="480"/>
      </w:pPr>
      <w:rPr>
        <w:rFonts w:hint="default"/>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abstractNum w:abstractNumId="1">
    <w:nsid w:val="121C7BB0"/>
    <w:multiLevelType w:val="multilevel"/>
    <w:tmpl w:val="121C7BB0"/>
    <w:lvl w:ilvl="0" w:tentative="0">
      <w:start w:val="1"/>
      <w:numFmt w:val="japaneseCounting"/>
      <w:lvlText w:val="(%1)"/>
      <w:lvlJc w:val="left"/>
      <w:pPr>
        <w:tabs>
          <w:tab w:val="left" w:pos="959"/>
        </w:tabs>
        <w:ind w:left="959" w:hanging="480"/>
      </w:pPr>
      <w:rPr>
        <w:rFonts w:hint="default"/>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abstractNum w:abstractNumId="2">
    <w:nsid w:val="26194F4F"/>
    <w:multiLevelType w:val="multilevel"/>
    <w:tmpl w:val="26194F4F"/>
    <w:lvl w:ilvl="0" w:tentative="0">
      <w:start w:val="1"/>
      <w:numFmt w:val="japaneseCounting"/>
      <w:lvlText w:val="(%1)"/>
      <w:lvlJc w:val="left"/>
      <w:pPr>
        <w:tabs>
          <w:tab w:val="left" w:pos="959"/>
        </w:tabs>
        <w:ind w:left="959" w:hanging="480"/>
      </w:pPr>
      <w:rPr>
        <w:rFonts w:hint="default"/>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abstractNum w:abstractNumId="3">
    <w:nsid w:val="2E594138"/>
    <w:multiLevelType w:val="multilevel"/>
    <w:tmpl w:val="2E594138"/>
    <w:lvl w:ilvl="0" w:tentative="0">
      <w:start w:val="5"/>
      <w:numFmt w:val="japaneseCounting"/>
      <w:lvlText w:val="(%1)"/>
      <w:lvlJc w:val="left"/>
      <w:pPr>
        <w:tabs>
          <w:tab w:val="left" w:pos="1978"/>
        </w:tabs>
        <w:ind w:left="1978" w:hanging="720"/>
      </w:pPr>
      <w:rPr>
        <w:rFonts w:hint="default"/>
      </w:rPr>
    </w:lvl>
    <w:lvl w:ilvl="1" w:tentative="0">
      <w:start w:val="1"/>
      <w:numFmt w:val="lowerLetter"/>
      <w:lvlText w:val="%2)"/>
      <w:lvlJc w:val="left"/>
      <w:pPr>
        <w:tabs>
          <w:tab w:val="left" w:pos="2098"/>
        </w:tabs>
        <w:ind w:left="2098" w:hanging="420"/>
      </w:pPr>
    </w:lvl>
    <w:lvl w:ilvl="2" w:tentative="0">
      <w:start w:val="1"/>
      <w:numFmt w:val="lowerRoman"/>
      <w:lvlText w:val="%3."/>
      <w:lvlJc w:val="right"/>
      <w:pPr>
        <w:tabs>
          <w:tab w:val="left" w:pos="2518"/>
        </w:tabs>
        <w:ind w:left="2518" w:hanging="420"/>
      </w:pPr>
    </w:lvl>
    <w:lvl w:ilvl="3" w:tentative="0">
      <w:start w:val="1"/>
      <w:numFmt w:val="decimal"/>
      <w:lvlText w:val="%4."/>
      <w:lvlJc w:val="left"/>
      <w:pPr>
        <w:tabs>
          <w:tab w:val="left" w:pos="2938"/>
        </w:tabs>
        <w:ind w:left="2938" w:hanging="420"/>
      </w:pPr>
    </w:lvl>
    <w:lvl w:ilvl="4" w:tentative="0">
      <w:start w:val="1"/>
      <w:numFmt w:val="lowerLetter"/>
      <w:lvlText w:val="%5)"/>
      <w:lvlJc w:val="left"/>
      <w:pPr>
        <w:tabs>
          <w:tab w:val="left" w:pos="3358"/>
        </w:tabs>
        <w:ind w:left="3358" w:hanging="420"/>
      </w:pPr>
    </w:lvl>
    <w:lvl w:ilvl="5" w:tentative="0">
      <w:start w:val="1"/>
      <w:numFmt w:val="lowerRoman"/>
      <w:lvlText w:val="%6."/>
      <w:lvlJc w:val="right"/>
      <w:pPr>
        <w:tabs>
          <w:tab w:val="left" w:pos="3778"/>
        </w:tabs>
        <w:ind w:left="3778" w:hanging="420"/>
      </w:pPr>
    </w:lvl>
    <w:lvl w:ilvl="6" w:tentative="0">
      <w:start w:val="1"/>
      <w:numFmt w:val="decimal"/>
      <w:lvlText w:val="%7."/>
      <w:lvlJc w:val="left"/>
      <w:pPr>
        <w:tabs>
          <w:tab w:val="left" w:pos="4198"/>
        </w:tabs>
        <w:ind w:left="4198" w:hanging="420"/>
      </w:pPr>
    </w:lvl>
    <w:lvl w:ilvl="7" w:tentative="0">
      <w:start w:val="1"/>
      <w:numFmt w:val="lowerLetter"/>
      <w:lvlText w:val="%8)"/>
      <w:lvlJc w:val="left"/>
      <w:pPr>
        <w:tabs>
          <w:tab w:val="left" w:pos="4618"/>
        </w:tabs>
        <w:ind w:left="4618" w:hanging="420"/>
      </w:pPr>
    </w:lvl>
    <w:lvl w:ilvl="8" w:tentative="0">
      <w:start w:val="1"/>
      <w:numFmt w:val="lowerRoman"/>
      <w:lvlText w:val="%9."/>
      <w:lvlJc w:val="right"/>
      <w:pPr>
        <w:tabs>
          <w:tab w:val="left" w:pos="5038"/>
        </w:tabs>
        <w:ind w:left="5038" w:hanging="420"/>
      </w:pPr>
    </w:lvl>
  </w:abstractNum>
  <w:abstractNum w:abstractNumId="4">
    <w:nsid w:val="34265FE5"/>
    <w:multiLevelType w:val="multilevel"/>
    <w:tmpl w:val="34265FE5"/>
    <w:lvl w:ilvl="0" w:tentative="0">
      <w:start w:val="1"/>
      <w:numFmt w:val="japaneseCounting"/>
      <w:lvlText w:val="(%1)"/>
      <w:lvlJc w:val="left"/>
      <w:pPr>
        <w:tabs>
          <w:tab w:val="left" w:pos="959"/>
        </w:tabs>
        <w:ind w:left="959" w:hanging="480"/>
      </w:pPr>
      <w:rPr>
        <w:rFonts w:hint="default"/>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abstractNum w:abstractNumId="5">
    <w:nsid w:val="53C444C0"/>
    <w:multiLevelType w:val="multilevel"/>
    <w:tmpl w:val="53C444C0"/>
    <w:lvl w:ilvl="0" w:tentative="0">
      <w:start w:val="1"/>
      <w:numFmt w:val="japaneseCounting"/>
      <w:lvlText w:val="(%1)"/>
      <w:lvlJc w:val="left"/>
      <w:pPr>
        <w:tabs>
          <w:tab w:val="left" w:pos="959"/>
        </w:tabs>
        <w:ind w:left="959" w:hanging="480"/>
      </w:pPr>
      <w:rPr>
        <w:rFonts w:hint="default"/>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abstractNum w:abstractNumId="6">
    <w:nsid w:val="5A745B3E"/>
    <w:multiLevelType w:val="multilevel"/>
    <w:tmpl w:val="5A745B3E"/>
    <w:lvl w:ilvl="0" w:tentative="0">
      <w:start w:val="1"/>
      <w:numFmt w:val="japaneseCounting"/>
      <w:lvlText w:val="第%1章"/>
      <w:lvlJc w:val="left"/>
      <w:pPr>
        <w:tabs>
          <w:tab w:val="left" w:pos="840"/>
        </w:tabs>
        <w:ind w:left="840" w:hanging="840"/>
      </w:pPr>
      <w:rPr>
        <w:rFonts w:hint="eastAsia"/>
      </w:rPr>
    </w:lvl>
    <w:lvl w:ilvl="1" w:tentative="0">
      <w:start w:val="1"/>
      <w:numFmt w:val="japaneseCounting"/>
      <w:lvlText w:val="第%2条"/>
      <w:lvlJc w:val="left"/>
      <w:pPr>
        <w:tabs>
          <w:tab w:val="left" w:pos="1395"/>
        </w:tabs>
        <w:ind w:left="1395" w:hanging="975"/>
      </w:pPr>
      <w:rPr>
        <w:rFonts w:hint="eastAsia"/>
        <w:b/>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AD855A2"/>
    <w:multiLevelType w:val="multilevel"/>
    <w:tmpl w:val="5AD855A2"/>
    <w:lvl w:ilvl="0" w:tentative="0">
      <w:start w:val="1"/>
      <w:numFmt w:val="japaneseCounting"/>
      <w:lvlText w:val="(%1)"/>
      <w:lvlJc w:val="left"/>
      <w:pPr>
        <w:tabs>
          <w:tab w:val="left" w:pos="959"/>
        </w:tabs>
        <w:ind w:left="959" w:hanging="480"/>
      </w:pPr>
      <w:rPr>
        <w:rFonts w:hint="default"/>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abstractNum w:abstractNumId="8">
    <w:nsid w:val="5BCA14FD"/>
    <w:multiLevelType w:val="multilevel"/>
    <w:tmpl w:val="5BCA14FD"/>
    <w:lvl w:ilvl="0" w:tentative="0">
      <w:start w:val="1"/>
      <w:numFmt w:val="japaneseCounting"/>
      <w:lvlText w:val="(%1)"/>
      <w:lvlJc w:val="left"/>
      <w:pPr>
        <w:tabs>
          <w:tab w:val="left" w:pos="959"/>
        </w:tabs>
        <w:ind w:left="959" w:hanging="480"/>
      </w:pPr>
      <w:rPr>
        <w:rFonts w:hint="default"/>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abstractNum w:abstractNumId="9">
    <w:nsid w:val="61F25369"/>
    <w:multiLevelType w:val="multilevel"/>
    <w:tmpl w:val="61F25369"/>
    <w:lvl w:ilvl="0" w:tentative="0">
      <w:start w:val="1"/>
      <w:numFmt w:val="japaneseCounting"/>
      <w:lvlText w:val="(%1)"/>
      <w:lvlJc w:val="left"/>
      <w:pPr>
        <w:tabs>
          <w:tab w:val="left" w:pos="959"/>
        </w:tabs>
        <w:ind w:left="959" w:hanging="480"/>
      </w:pPr>
      <w:rPr>
        <w:rFonts w:hint="default"/>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abstractNum w:abstractNumId="10">
    <w:nsid w:val="735B47AC"/>
    <w:multiLevelType w:val="multilevel"/>
    <w:tmpl w:val="735B47AC"/>
    <w:lvl w:ilvl="0" w:tentative="0">
      <w:start w:val="1"/>
      <w:numFmt w:val="japaneseCounting"/>
      <w:lvlText w:val="(%1)"/>
      <w:lvlJc w:val="left"/>
      <w:pPr>
        <w:tabs>
          <w:tab w:val="left" w:pos="959"/>
        </w:tabs>
        <w:ind w:left="959" w:hanging="480"/>
      </w:pPr>
      <w:rPr>
        <w:rFonts w:hint="default"/>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num w:numId="1">
    <w:abstractNumId w:val="6"/>
  </w:num>
  <w:num w:numId="2">
    <w:abstractNumId w:val="3"/>
  </w:num>
  <w:num w:numId="3">
    <w:abstractNumId w:val="5"/>
  </w:num>
  <w:num w:numId="4">
    <w:abstractNumId w:val="2"/>
  </w:num>
  <w:num w:numId="5">
    <w:abstractNumId w:val="7"/>
  </w:num>
  <w:num w:numId="6">
    <w:abstractNumId w:val="10"/>
  </w:num>
  <w:num w:numId="7">
    <w:abstractNumId w:val="4"/>
  </w:num>
  <w:num w:numId="8">
    <w:abstractNumId w:val="9"/>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BB"/>
    <w:rsid w:val="000219BF"/>
    <w:rsid w:val="00035BFF"/>
    <w:rsid w:val="0008168D"/>
    <w:rsid w:val="000833C1"/>
    <w:rsid w:val="000C26F5"/>
    <w:rsid w:val="001607EB"/>
    <w:rsid w:val="00171028"/>
    <w:rsid w:val="00200367"/>
    <w:rsid w:val="00212E7D"/>
    <w:rsid w:val="00224F1E"/>
    <w:rsid w:val="002560F6"/>
    <w:rsid w:val="0027045B"/>
    <w:rsid w:val="00273BB3"/>
    <w:rsid w:val="002B5C27"/>
    <w:rsid w:val="002F0D9D"/>
    <w:rsid w:val="003357FA"/>
    <w:rsid w:val="003B5866"/>
    <w:rsid w:val="003F5899"/>
    <w:rsid w:val="00431BBC"/>
    <w:rsid w:val="004868D4"/>
    <w:rsid w:val="004A205F"/>
    <w:rsid w:val="004C0879"/>
    <w:rsid w:val="00561A42"/>
    <w:rsid w:val="00597ABB"/>
    <w:rsid w:val="005B47C2"/>
    <w:rsid w:val="0061307B"/>
    <w:rsid w:val="006413C5"/>
    <w:rsid w:val="006543B8"/>
    <w:rsid w:val="006B337E"/>
    <w:rsid w:val="007037A2"/>
    <w:rsid w:val="00770549"/>
    <w:rsid w:val="00792B4A"/>
    <w:rsid w:val="00820E3A"/>
    <w:rsid w:val="008C136E"/>
    <w:rsid w:val="00955540"/>
    <w:rsid w:val="009F6DBB"/>
    <w:rsid w:val="00A075D0"/>
    <w:rsid w:val="00A22072"/>
    <w:rsid w:val="00AE08CC"/>
    <w:rsid w:val="00AF74F8"/>
    <w:rsid w:val="00B106BC"/>
    <w:rsid w:val="00B546A8"/>
    <w:rsid w:val="00B92B82"/>
    <w:rsid w:val="00C03953"/>
    <w:rsid w:val="00C301A6"/>
    <w:rsid w:val="00C34ABE"/>
    <w:rsid w:val="00C50817"/>
    <w:rsid w:val="00CA1D08"/>
    <w:rsid w:val="00CD6314"/>
    <w:rsid w:val="00D12695"/>
    <w:rsid w:val="00D5279E"/>
    <w:rsid w:val="00D7401B"/>
    <w:rsid w:val="00E165D9"/>
    <w:rsid w:val="00E610A5"/>
    <w:rsid w:val="00E95235"/>
    <w:rsid w:val="00ED008E"/>
    <w:rsid w:val="00F740A3"/>
    <w:rsid w:val="00F86275"/>
    <w:rsid w:val="00F91B32"/>
    <w:rsid w:val="00FB2FFD"/>
    <w:rsid w:val="00FD6BC6"/>
    <w:rsid w:val="481E4450"/>
    <w:rsid w:val="518812A2"/>
    <w:rsid w:val="57CE5664"/>
    <w:rsid w:val="619A36DC"/>
    <w:rsid w:val="61E12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character" w:styleId="9">
    <w:name w:val="annotation reference"/>
    <w:uiPriority w:val="0"/>
    <w:rPr>
      <w:sz w:val="21"/>
      <w:szCs w:val="21"/>
    </w:rPr>
  </w:style>
  <w:style w:type="character" w:customStyle="1" w:styleId="10">
    <w:name w:val="页眉 字符"/>
    <w:link w:val="5"/>
    <w:qFormat/>
    <w:uiPriority w:val="99"/>
    <w:rPr>
      <w:kern w:val="2"/>
      <w:sz w:val="18"/>
      <w:szCs w:val="18"/>
    </w:rPr>
  </w:style>
  <w:style w:type="character" w:customStyle="1" w:styleId="11">
    <w:name w:val="页脚 字符"/>
    <w:link w:val="4"/>
    <w:qFormat/>
    <w:uiPriority w:val="99"/>
    <w:rPr>
      <w:kern w:val="2"/>
      <w:sz w:val="18"/>
      <w:szCs w:val="18"/>
    </w:rPr>
  </w:style>
  <w:style w:type="character" w:customStyle="1" w:styleId="12">
    <w:name w:val="批注框文本 字符"/>
    <w:link w:val="3"/>
    <w:uiPriority w:val="0"/>
    <w:rPr>
      <w:kern w:val="2"/>
      <w:sz w:val="18"/>
      <w:szCs w:val="18"/>
    </w:rPr>
  </w:style>
  <w:style w:type="paragraph" w:styleId="13">
    <w:name w:val="List Paragraph"/>
    <w:basedOn w:val="1"/>
    <w:qFormat/>
    <w:uiPriority w:val="34"/>
    <w:pPr>
      <w:ind w:firstLine="420" w:firstLineChars="200"/>
    </w:pPr>
  </w:style>
  <w:style w:type="character" w:customStyle="1" w:styleId="14">
    <w:name w:val="批注文字 字符"/>
    <w:link w:val="2"/>
    <w:qFormat/>
    <w:uiPriority w:val="0"/>
    <w:rPr>
      <w:kern w:val="2"/>
      <w:sz w:val="21"/>
      <w:szCs w:val="24"/>
    </w:rPr>
  </w:style>
  <w:style w:type="character" w:customStyle="1" w:styleId="15">
    <w:name w:val="批注主题 字符"/>
    <w:link w:val="6"/>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5896</Words>
  <Characters>5896</Characters>
  <Lines>45</Lines>
  <Paragraphs>12</Paragraphs>
  <TotalTime>24</TotalTime>
  <ScaleCrop>false</ScaleCrop>
  <LinksUpToDate>false</LinksUpToDate>
  <CharactersWithSpaces>6085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2023-08-28T05:18:00Z</dcterms:created>
  <dc:creator>walkinnet</dc:creator>
  <cp:lastModifiedBy>lln</cp:lastModifiedBy>
  <dcterms:modified xsi:type="dcterms:W3CDTF">2025-08-21T08:28:31Z</dcterms:modified>
  <dc:title>关于制订永兴特种不锈钢股份有限公司</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E395EDA4FD5E4727B7E630F2CB0857DB_13</vt:lpwstr>
  </property>
</Properties>
</file>